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568E3" w14:paraId="2CEE673B" w14:textId="77777777" w:rsidTr="006568E3">
        <w:tc>
          <w:tcPr>
            <w:tcW w:w="9570" w:type="dxa"/>
          </w:tcPr>
          <w:p w14:paraId="0E06285E" w14:textId="77777777" w:rsidR="006568E3" w:rsidRDefault="006568E3" w:rsidP="006568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28A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БЮДЖЕТНОЕ УЧРЕЖДЕНИЕ</w:t>
            </w:r>
          </w:p>
          <w:p w14:paraId="1D4764A9" w14:textId="5155C55F" w:rsidR="006568E3" w:rsidRPr="0037228A" w:rsidRDefault="006568E3" w:rsidP="006568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2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«Институт глобального климата и экологии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имени академика </w:t>
            </w:r>
            <w:r w:rsidR="005A4DC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Ю.А. Израэля</w:t>
            </w:r>
            <w:r w:rsidRPr="0037228A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14:paraId="56ED57F2" w14:textId="77777777" w:rsidR="006568E3" w:rsidRDefault="006568E3" w:rsidP="006568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28A">
              <w:rPr>
                <w:rFonts w:ascii="Times New Roman" w:hAnsi="Times New Roman" w:cs="Times New Roman"/>
                <w:b/>
                <w:sz w:val="28"/>
                <w:szCs w:val="24"/>
              </w:rPr>
              <w:t>(ФГБУ «ИГКЭ»)</w:t>
            </w:r>
          </w:p>
          <w:p w14:paraId="6A53D3BA" w14:textId="50DFF3D1" w:rsidR="006568E3" w:rsidRDefault="006568E3" w:rsidP="00656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28A">
              <w:rPr>
                <w:rFonts w:ascii="Times New Roman" w:hAnsi="Times New Roman" w:cs="Times New Roman"/>
              </w:rPr>
              <w:t xml:space="preserve">107258, г. Москва, ул. </w:t>
            </w:r>
            <w:proofErr w:type="spellStart"/>
            <w:r w:rsidRPr="0037228A">
              <w:rPr>
                <w:rFonts w:ascii="Times New Roman" w:hAnsi="Times New Roman" w:cs="Times New Roman"/>
              </w:rPr>
              <w:t>Глебовская</w:t>
            </w:r>
            <w:proofErr w:type="spellEnd"/>
            <w:r w:rsidRPr="0037228A">
              <w:rPr>
                <w:rFonts w:ascii="Times New Roman" w:hAnsi="Times New Roman" w:cs="Times New Roman"/>
              </w:rPr>
              <w:t>, д. 20</w:t>
            </w:r>
            <w:r w:rsidR="009533B7">
              <w:rPr>
                <w:rFonts w:ascii="Times New Roman" w:hAnsi="Times New Roman" w:cs="Times New Roman"/>
              </w:rPr>
              <w:t xml:space="preserve"> </w:t>
            </w:r>
            <w:r w:rsidRPr="0037228A">
              <w:rPr>
                <w:rFonts w:ascii="Times New Roman" w:hAnsi="Times New Roman" w:cs="Times New Roman"/>
              </w:rPr>
              <w:t>Б</w:t>
            </w:r>
            <w:r w:rsidR="009533B7">
              <w:rPr>
                <w:rFonts w:ascii="Times New Roman" w:hAnsi="Times New Roman" w:cs="Times New Roman"/>
              </w:rPr>
              <w:t xml:space="preserve"> </w:t>
            </w:r>
            <w:r w:rsidRPr="0037228A">
              <w:rPr>
                <w:rFonts w:ascii="Times New Roman" w:hAnsi="Times New Roman" w:cs="Times New Roman"/>
              </w:rPr>
              <w:t xml:space="preserve">Тел.:(499) 160-59-07, Факс: (499) 160-08-31, </w:t>
            </w:r>
            <w:hyperlink r:id="rId6" w:history="1">
              <w:r w:rsidRPr="0037228A">
                <w:rPr>
                  <w:rStyle w:val="a6"/>
                  <w:rFonts w:ascii="Times New Roman" w:hAnsi="Times New Roman" w:cs="Times New Roman"/>
                </w:rPr>
                <w:t>www.igce.ru</w:t>
              </w:r>
            </w:hyperlink>
            <w:r w:rsidRPr="0037228A">
              <w:rPr>
                <w:rFonts w:ascii="Times New Roman" w:hAnsi="Times New Roman" w:cs="Times New Roman"/>
              </w:rPr>
              <w:t xml:space="preserve"> ОКПО 04778506    </w:t>
            </w:r>
            <w:r w:rsidRPr="0037228A">
              <w:rPr>
                <w:rFonts w:ascii="Times New Roman" w:hAnsi="Times New Roman" w:cs="Times New Roman"/>
                <w:sz w:val="24"/>
                <w:szCs w:val="24"/>
              </w:rPr>
              <w:t>ОГРН 1027739649200ИНН7718014073 КПП771801001</w:t>
            </w:r>
          </w:p>
        </w:tc>
      </w:tr>
    </w:tbl>
    <w:p w14:paraId="50FB020C" w14:textId="77777777" w:rsidR="006568E3" w:rsidRDefault="006568E3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568E3" w:rsidSect="006568E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88A685E" w14:textId="77777777" w:rsidR="006568E3" w:rsidRDefault="006568E3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D2A81B" w14:textId="77777777" w:rsidR="0097036E" w:rsidRPr="005C59F2" w:rsidRDefault="0097036E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9F2">
        <w:rPr>
          <w:rFonts w:ascii="Times New Roman" w:hAnsi="Times New Roman" w:cs="Times New Roman"/>
          <w:sz w:val="28"/>
          <w:szCs w:val="28"/>
        </w:rPr>
        <w:t xml:space="preserve">Согласовано на заседании комиссии  </w:t>
      </w:r>
    </w:p>
    <w:p w14:paraId="2C87D200" w14:textId="6823E13C" w:rsidR="0097036E" w:rsidRPr="005C59F2" w:rsidRDefault="0097036E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9F2">
        <w:rPr>
          <w:rFonts w:ascii="Times New Roman" w:hAnsi="Times New Roman" w:cs="Times New Roman"/>
          <w:sz w:val="28"/>
          <w:szCs w:val="28"/>
        </w:rPr>
        <w:t>Протокол №</w:t>
      </w:r>
      <w:r w:rsidR="005C59F2">
        <w:rPr>
          <w:rFonts w:ascii="Times New Roman" w:hAnsi="Times New Roman" w:cs="Times New Roman"/>
          <w:sz w:val="28"/>
          <w:szCs w:val="28"/>
          <w:lang w:val="en-US"/>
        </w:rPr>
        <w:t xml:space="preserve"> __</w:t>
      </w:r>
      <w:r w:rsidRPr="005C59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01AB2" w14:textId="10C6C9C8" w:rsidR="0097036E" w:rsidRDefault="0097036E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«» </w:t>
      </w:r>
      <w:r w:rsidR="008D4FA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D4FAB">
        <w:rPr>
          <w:rFonts w:ascii="Times New Roman" w:hAnsi="Times New Roman" w:cs="Times New Roman"/>
          <w:sz w:val="28"/>
          <w:szCs w:val="28"/>
        </w:rPr>
        <w:t>4</w:t>
      </w:r>
      <w:r w:rsidR="000615CA" w:rsidRPr="00023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405D1C0F" w14:textId="77777777" w:rsidR="0097036E" w:rsidRDefault="0097036E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4F0A3135" w14:textId="77777777" w:rsidR="006568E3" w:rsidRDefault="006568E3" w:rsidP="009703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65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С.А. Громов </w:t>
      </w:r>
    </w:p>
    <w:p w14:paraId="550E9C37" w14:textId="77777777" w:rsidR="0097036E" w:rsidRDefault="0097036E" w:rsidP="009703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8BBB47" w14:textId="77777777" w:rsidR="00412206" w:rsidRPr="0097036E" w:rsidRDefault="0097036E" w:rsidP="009703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7036E">
        <w:rPr>
          <w:rFonts w:ascii="Times New Roman" w:hAnsi="Times New Roman" w:cs="Times New Roman"/>
          <w:sz w:val="28"/>
          <w:szCs w:val="28"/>
        </w:rPr>
        <w:t>ТВЕРЖДАЮ</w:t>
      </w:r>
    </w:p>
    <w:p w14:paraId="079C6FB5" w14:textId="77777777" w:rsidR="0097036E" w:rsidRPr="0097036E" w:rsidRDefault="0097036E" w:rsidP="009703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36E">
        <w:rPr>
          <w:rFonts w:ascii="Times New Roman" w:hAnsi="Times New Roman" w:cs="Times New Roman"/>
          <w:sz w:val="28"/>
          <w:szCs w:val="28"/>
        </w:rPr>
        <w:t>Директор ФГБУ «ИГКЭ»</w:t>
      </w:r>
    </w:p>
    <w:p w14:paraId="17762F39" w14:textId="2DA645ED" w:rsidR="0097036E" w:rsidRPr="0097036E" w:rsidRDefault="0097036E" w:rsidP="009703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036E">
        <w:rPr>
          <w:rFonts w:ascii="Times New Roman" w:hAnsi="Times New Roman" w:cs="Times New Roman"/>
          <w:sz w:val="28"/>
          <w:szCs w:val="28"/>
        </w:rPr>
        <w:t>__________ А.А.</w:t>
      </w:r>
      <w:r w:rsidR="009533B7">
        <w:rPr>
          <w:rFonts w:ascii="Times New Roman" w:hAnsi="Times New Roman" w:cs="Times New Roman"/>
          <w:sz w:val="28"/>
          <w:szCs w:val="28"/>
        </w:rPr>
        <w:t xml:space="preserve"> </w:t>
      </w:r>
      <w:r w:rsidRPr="0097036E">
        <w:rPr>
          <w:rFonts w:ascii="Times New Roman" w:hAnsi="Times New Roman" w:cs="Times New Roman"/>
          <w:sz w:val="28"/>
          <w:szCs w:val="28"/>
        </w:rPr>
        <w:t xml:space="preserve">Романовская </w:t>
      </w:r>
    </w:p>
    <w:p w14:paraId="59D8C314" w14:textId="4E7C4744" w:rsidR="0097036E" w:rsidRPr="001505E2" w:rsidRDefault="0097036E" w:rsidP="001505E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97036E" w:rsidRPr="001505E2" w:rsidSect="006568E3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97036E">
        <w:rPr>
          <w:rFonts w:ascii="Times New Roman" w:hAnsi="Times New Roman" w:cs="Times New Roman"/>
          <w:sz w:val="28"/>
          <w:szCs w:val="28"/>
        </w:rPr>
        <w:t>«_</w:t>
      </w:r>
      <w:r w:rsidR="006568E3">
        <w:rPr>
          <w:rFonts w:ascii="Times New Roman" w:hAnsi="Times New Roman" w:cs="Times New Roman"/>
          <w:sz w:val="28"/>
          <w:szCs w:val="28"/>
        </w:rPr>
        <w:t>_</w:t>
      </w:r>
      <w:r w:rsidRPr="0097036E">
        <w:rPr>
          <w:rFonts w:ascii="Times New Roman" w:hAnsi="Times New Roman" w:cs="Times New Roman"/>
          <w:sz w:val="28"/>
          <w:szCs w:val="28"/>
        </w:rPr>
        <w:t>_»</w:t>
      </w:r>
      <w:r w:rsidR="000615CA" w:rsidRPr="0002352F">
        <w:rPr>
          <w:rFonts w:ascii="Times New Roman" w:hAnsi="Times New Roman" w:cs="Times New Roman"/>
          <w:sz w:val="28"/>
          <w:szCs w:val="28"/>
        </w:rPr>
        <w:t xml:space="preserve"> </w:t>
      </w:r>
      <w:r w:rsidRPr="0097036E">
        <w:rPr>
          <w:rFonts w:ascii="Times New Roman" w:hAnsi="Times New Roman" w:cs="Times New Roman"/>
          <w:sz w:val="28"/>
          <w:szCs w:val="28"/>
        </w:rPr>
        <w:t>_________20___г.</w:t>
      </w:r>
    </w:p>
    <w:p w14:paraId="29FF6A7B" w14:textId="29B49750" w:rsidR="006568E3" w:rsidRDefault="006568E3" w:rsidP="001505E2">
      <w:pPr>
        <w:rPr>
          <w:rFonts w:ascii="Times New Roman" w:hAnsi="Times New Roman" w:cs="Times New Roman"/>
          <w:sz w:val="24"/>
          <w:szCs w:val="24"/>
        </w:rPr>
      </w:pPr>
    </w:p>
    <w:p w14:paraId="101DAC96" w14:textId="5D72A5C5" w:rsidR="008D4FAB" w:rsidRDefault="008D4FAB" w:rsidP="001505E2">
      <w:pPr>
        <w:rPr>
          <w:rFonts w:ascii="Times New Roman" w:hAnsi="Times New Roman" w:cs="Times New Roman"/>
          <w:sz w:val="24"/>
          <w:szCs w:val="24"/>
        </w:rPr>
      </w:pPr>
    </w:p>
    <w:p w14:paraId="124E6803" w14:textId="64F8EEB7" w:rsidR="008D4FAB" w:rsidRDefault="008D4FAB" w:rsidP="001505E2">
      <w:pPr>
        <w:rPr>
          <w:rFonts w:ascii="Times New Roman" w:hAnsi="Times New Roman" w:cs="Times New Roman"/>
          <w:sz w:val="24"/>
          <w:szCs w:val="24"/>
        </w:rPr>
      </w:pPr>
    </w:p>
    <w:p w14:paraId="3CEAC217" w14:textId="77777777" w:rsidR="008D4FAB" w:rsidRDefault="008D4FAB" w:rsidP="00F76488">
      <w:pPr>
        <w:pStyle w:val="ad"/>
      </w:pPr>
    </w:p>
    <w:p w14:paraId="500F78DA" w14:textId="77777777" w:rsidR="001505E2" w:rsidRPr="00E96B01" w:rsidRDefault="001505E2" w:rsidP="00FF4A2D">
      <w:pPr>
        <w:ind w:right="-5175"/>
        <w:jc w:val="center"/>
        <w:rPr>
          <w:rFonts w:ascii="Times New Roman" w:hAnsi="Times New Roman" w:cs="Times New Roman"/>
          <w:sz w:val="36"/>
          <w:szCs w:val="24"/>
        </w:rPr>
      </w:pPr>
      <w:r w:rsidRPr="00E96B01">
        <w:rPr>
          <w:rFonts w:ascii="Times New Roman" w:hAnsi="Times New Roman" w:cs="Times New Roman"/>
          <w:sz w:val="36"/>
          <w:szCs w:val="24"/>
        </w:rPr>
        <w:t>Рекомендации для станций и лабораторий ЕМЕП</w:t>
      </w:r>
    </w:p>
    <w:p w14:paraId="7C9C269F" w14:textId="50CDC34C" w:rsidR="001505E2" w:rsidRPr="003435A1" w:rsidRDefault="001505E2" w:rsidP="00FF4A2D">
      <w:pPr>
        <w:ind w:right="-5033"/>
        <w:jc w:val="center"/>
        <w:rPr>
          <w:rFonts w:ascii="Times New Roman" w:hAnsi="Times New Roman" w:cs="Times New Roman"/>
          <w:sz w:val="24"/>
          <w:szCs w:val="24"/>
        </w:rPr>
      </w:pPr>
      <w:r w:rsidRPr="003435A1">
        <w:rPr>
          <w:rFonts w:ascii="Times New Roman" w:hAnsi="Times New Roman" w:cs="Times New Roman"/>
          <w:sz w:val="24"/>
          <w:szCs w:val="24"/>
        </w:rPr>
        <w:t xml:space="preserve">Разработаны на основании </w:t>
      </w:r>
      <w:r w:rsidR="00FF4A2D">
        <w:rPr>
          <w:rFonts w:ascii="Times New Roman" w:hAnsi="Times New Roman" w:cs="Times New Roman"/>
          <w:sz w:val="24"/>
          <w:szCs w:val="24"/>
        </w:rPr>
        <w:t>с</w:t>
      </w:r>
      <w:r w:rsidRPr="003435A1">
        <w:rPr>
          <w:rFonts w:ascii="Times New Roman" w:hAnsi="Times New Roman" w:cs="Times New Roman"/>
          <w:sz w:val="24"/>
          <w:szCs w:val="24"/>
        </w:rPr>
        <w:t>тратегии мониторинга ЕМЕП 2020-2029</w:t>
      </w:r>
    </w:p>
    <w:p w14:paraId="0D82A364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67C2F018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3C81AE79" w14:textId="77777777" w:rsidR="001505E2" w:rsidRPr="009A3F61" w:rsidRDefault="001505E2" w:rsidP="00150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F250F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1E0D86C5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07F7F0A3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1EF90AE9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53246236" w14:textId="77777777" w:rsidR="001505E2" w:rsidRPr="009A3F61" w:rsidRDefault="001505E2" w:rsidP="001505E2">
      <w:pPr>
        <w:rPr>
          <w:rFonts w:ascii="Times New Roman" w:hAnsi="Times New Roman" w:cs="Times New Roman"/>
          <w:sz w:val="24"/>
          <w:szCs w:val="24"/>
        </w:rPr>
      </w:pPr>
    </w:p>
    <w:p w14:paraId="35D89C17" w14:textId="05C3D0CA" w:rsidR="001505E2" w:rsidRPr="009A3F61" w:rsidRDefault="001505E2" w:rsidP="008D4FAB">
      <w:pPr>
        <w:ind w:right="-50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202</w:t>
      </w:r>
      <w:r w:rsidR="008D4FAB">
        <w:rPr>
          <w:rFonts w:ascii="Times New Roman" w:hAnsi="Times New Roman" w:cs="Times New Roman"/>
          <w:sz w:val="24"/>
          <w:szCs w:val="24"/>
        </w:rPr>
        <w:t>4</w:t>
      </w:r>
    </w:p>
    <w:p w14:paraId="736A353F" w14:textId="77777777" w:rsidR="001505E2" w:rsidRDefault="001505E2" w:rsidP="008D4FAB">
      <w:pPr>
        <w:ind w:right="-5033"/>
        <w:rPr>
          <w:rFonts w:ascii="Times New Roman" w:hAnsi="Times New Roman" w:cs="Times New Roman"/>
          <w:sz w:val="24"/>
          <w:szCs w:val="24"/>
        </w:rPr>
      </w:pPr>
    </w:p>
    <w:p w14:paraId="589918A7" w14:textId="77777777" w:rsidR="001505E2" w:rsidRDefault="001505E2" w:rsidP="00412206">
      <w:pPr>
        <w:rPr>
          <w:rFonts w:ascii="Times New Roman" w:hAnsi="Times New Roman" w:cs="Times New Roman"/>
          <w:sz w:val="24"/>
          <w:szCs w:val="24"/>
        </w:rPr>
      </w:pPr>
    </w:p>
    <w:p w14:paraId="59703625" w14:textId="4C89AC05" w:rsidR="001505E2" w:rsidRDefault="001505E2" w:rsidP="00412206">
      <w:pPr>
        <w:rPr>
          <w:rFonts w:ascii="Times New Roman" w:hAnsi="Times New Roman" w:cs="Times New Roman"/>
          <w:sz w:val="24"/>
          <w:szCs w:val="24"/>
        </w:rPr>
        <w:sectPr w:rsidR="001505E2" w:rsidSect="00FF4A2D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1444D701" w14:textId="439C654B" w:rsidR="001505E2" w:rsidRDefault="001505E2" w:rsidP="001505E2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7C62B2F2" w14:textId="77777777" w:rsidR="001505E2" w:rsidRPr="001505E2" w:rsidRDefault="001505E2" w:rsidP="00FF4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Конвенция о трансграничном загрязнении воздуха на большие расстояния (The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</w:rPr>
        <w:t>Convention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Long-Range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</w:rPr>
        <w:t>Transboundary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</w:rPr>
        <w:t>Pollution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– CLRTAP, Конвенция ЛРТАП) предназначена для защиты человека и окружающей среды от загрязнения воздуха, для сокращения выбросов и, как следствие, сокращения и предотвращения загрязнения воздуха. Она была сформирована в 1979 году (вступила в действие в 1983 году). </w:t>
      </w:r>
    </w:p>
    <w:p w14:paraId="3A15598D" w14:textId="63A17B4D" w:rsidR="001505E2" w:rsidRPr="001505E2" w:rsidRDefault="001505E2" w:rsidP="00FF4A2D">
      <w:pPr>
        <w:tabs>
          <w:tab w:val="left" w:pos="5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В рамках Конвенции ЛРТАП выполняется международная программа мониторинга загрязнения атмосферы - Международная совместная программа мониторинга и оценки дальних переносов атмосферных загрязняющих веществ в Европе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(ЕМЕП) (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operative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Monitoring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Evaluation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long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range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transmissions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air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pollutants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Europe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European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Monitoring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Evaluation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1505E2">
        <w:rPr>
          <w:rFonts w:ascii="Times New Roman" w:eastAsia="Times New Roman" w:hAnsi="Times New Roman" w:cs="Times New Roman"/>
          <w:sz w:val="24"/>
          <w:szCs w:val="24"/>
          <w:lang w:val="en-US"/>
        </w:rPr>
        <w:t>EMEP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)).</w:t>
      </w:r>
    </w:p>
    <w:p w14:paraId="10EE50DB" w14:textId="42447D99" w:rsidR="001505E2" w:rsidRPr="001505E2" w:rsidRDefault="001505E2" w:rsidP="00FF4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В рамках выполнения работ по программе ЕМЕП проводятся измерения для обеспечения на регулярной основе информацией для оценки дальнего переноса атмосферных загрязнителей, предусмотренных протоколами Конвенции, а также оценки эффективности выполнения международных протоколов в рамках Конвенции по снижению выбросов в атмосферу.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Новая Стратегия мониторинга ЕМЕП на период 2020-2029 год </w:t>
      </w:r>
      <w:hyperlink w:anchor="page10">
        <w:r w:rsidRPr="001505E2">
          <w:rPr>
            <w:rFonts w:ascii="Times New Roman" w:eastAsia="Times New Roman" w:hAnsi="Times New Roman" w:cs="Times New Roman"/>
            <w:sz w:val="24"/>
            <w:szCs w:val="24"/>
          </w:rPr>
          <w:t>[1]</w:t>
        </w:r>
      </w:hyperlink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вступила в силу в 2020 году </w:t>
      </w:r>
      <w:proofErr w:type="gramStart"/>
      <w:r w:rsidRPr="001505E2">
        <w:rPr>
          <w:rFonts w:ascii="Times New Roman" w:eastAsia="Times New Roman" w:hAnsi="Times New Roman" w:cs="Times New Roman"/>
          <w:sz w:val="24"/>
          <w:szCs w:val="24"/>
        </w:rPr>
        <w:t>и ,</w:t>
      </w:r>
      <w:proofErr w:type="gram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представленной в ней информацией, выделены параметры, необходимые для измерений на каждой станции (базовый уровень). В Стратегии мониторинга 2020-2029 программа наблюдений разделена на 3 уровня разного охвата:</w:t>
      </w:r>
    </w:p>
    <w:p w14:paraId="21A09975" w14:textId="77777777" w:rsidR="001505E2" w:rsidRPr="001505E2" w:rsidRDefault="001505E2" w:rsidP="00CD6A36">
      <w:pPr>
        <w:numPr>
          <w:ilvl w:val="1"/>
          <w:numId w:val="8"/>
        </w:numPr>
        <w:tabs>
          <w:tab w:val="left" w:pos="968"/>
        </w:tabs>
        <w:spacing w:after="100" w:afterAutospacing="1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1-й (базовый) – включающий вещества, подлежащие измерению на всех станциях ЕМЕП (исключения могут составлять станции 3-го(научного) уровня);</w:t>
      </w:r>
    </w:p>
    <w:p w14:paraId="13E29D7E" w14:textId="77777777" w:rsidR="001505E2" w:rsidRPr="001505E2" w:rsidRDefault="001505E2" w:rsidP="00CD6A36">
      <w:pPr>
        <w:numPr>
          <w:ilvl w:val="1"/>
          <w:numId w:val="8"/>
        </w:numPr>
        <w:tabs>
          <w:tab w:val="left" w:pos="968"/>
        </w:tabs>
        <w:spacing w:after="100" w:afterAutospacing="1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2-й (расширенный) – включающий измерения 1-го уровня и дополнительные измерения содержания веществ, актуальных для данной территории;</w:t>
      </w:r>
    </w:p>
    <w:p w14:paraId="0EB74BE8" w14:textId="0110267F" w:rsidR="001505E2" w:rsidRDefault="001505E2" w:rsidP="00CD6A36">
      <w:pPr>
        <w:numPr>
          <w:ilvl w:val="1"/>
          <w:numId w:val="8"/>
        </w:numPr>
        <w:tabs>
          <w:tab w:val="left" w:pos="9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3-й (научный) – включающий </w:t>
      </w:r>
      <w:r w:rsidR="009533B7" w:rsidRPr="001505E2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имеющие отношение к переносу загрязнителей воздуха на большие расстояния и поддерживающие разработку и проверку моделей.</w:t>
      </w:r>
      <w:bookmarkStart w:id="0" w:name="page3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27F5F8" w14:textId="341E6FE4" w:rsidR="001505E2" w:rsidRPr="001505E2" w:rsidRDefault="001505E2" w:rsidP="00CD6A36">
      <w:pPr>
        <w:tabs>
          <w:tab w:val="left" w:pos="968"/>
        </w:tabs>
        <w:spacing w:after="100" w:afterAutospacing="1" w:line="360" w:lineRule="auto"/>
        <w:ind w:firstLine="9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В настоящем документе представлена информация о требованиях к проведению наблюдений на 1 – ом уровне Стратегии мониторинга Совместной программы мониторинга и оценки распространения загрязнителей воздуха на большие расстояния в Европе на период 2020–2029 годов. Документ содержит информацию о рекомендуемых методах отбора и анализа проб на сети ЕМЕП.</w:t>
      </w:r>
    </w:p>
    <w:p w14:paraId="6513EEFA" w14:textId="77777777" w:rsidR="001505E2" w:rsidRPr="001505E2" w:rsidRDefault="001505E2" w:rsidP="001505E2">
      <w:pPr>
        <w:spacing w:after="100" w:afterAutospacing="1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1505E2" w:rsidRPr="001505E2" w:rsidSect="001505E2">
          <w:type w:val="continuous"/>
          <w:pgSz w:w="11900" w:h="16838"/>
          <w:pgMar w:top="1142" w:right="846" w:bottom="1440" w:left="1440" w:header="0" w:footer="0" w:gutter="0"/>
          <w:cols w:space="720" w:equalWidth="0">
            <w:col w:w="9620"/>
          </w:cols>
        </w:sectPr>
      </w:pPr>
    </w:p>
    <w:p w14:paraId="1AF1FFB5" w14:textId="77777777" w:rsidR="001505E2" w:rsidRPr="001505E2" w:rsidRDefault="001505E2" w:rsidP="001505E2">
      <w:pPr>
        <w:numPr>
          <w:ilvl w:val="0"/>
          <w:numId w:val="10"/>
        </w:numPr>
        <w:tabs>
          <w:tab w:val="left" w:pos="980"/>
        </w:tabs>
        <w:spacing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ge4"/>
      <w:bookmarkEnd w:id="1"/>
      <w:r w:rsidRPr="001505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Базовый (1-й) уровень программы мониторинга ЕМЕП</w:t>
      </w:r>
    </w:p>
    <w:p w14:paraId="04363F54" w14:textId="65A4953C" w:rsidR="001505E2" w:rsidRPr="001505E2" w:rsidRDefault="001505E2" w:rsidP="00953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выполнения программы мониторинга на уровне 1 заключается в обеспечении долгосрочных химических и физических измерений основных параметров ЕМЕП. Измерения на уровне 1 включают параметры, необходимые для описания аспектов химии тропосферы и скорости осаждения веществ, участвующих в круговороте в атмосфере твердых частиц (ТЧ), фотохимических окислителей, подкисляющих и </w:t>
      </w:r>
      <w:proofErr w:type="spellStart"/>
      <w:r w:rsidRPr="001505E2">
        <w:rPr>
          <w:rFonts w:ascii="Times New Roman" w:eastAsia="Times New Roman" w:hAnsi="Times New Roman" w:cs="Times New Roman"/>
          <w:sz w:val="24"/>
          <w:szCs w:val="24"/>
        </w:rPr>
        <w:t>эвтрофицирующих</w:t>
      </w:r>
      <w:proofErr w:type="spellEnd"/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соединений и тяжелых металлов. Также в базовую программу входят метеорологические параметры (они могут быть получены с близлежащей метеорологической станции, если ее результаты репрезентативны для территории станции).</w:t>
      </w:r>
    </w:p>
    <w:p w14:paraId="0F0B2CB1" w14:textId="7689824F" w:rsidR="001505E2" w:rsidRPr="001505E2" w:rsidRDefault="001505E2" w:rsidP="00953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Периодичность измерений базовой программы мониторинга ЕМЕП должна быть достаточной для поддержки анализа химических и физических характеристик переноса синоптического масштаба. Время отбора проб можно увеличивать, если уровни концентрации настолько низки, что обнаружени</w:t>
      </w:r>
      <w:r w:rsidR="0060293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представля</w:t>
      </w:r>
      <w:r w:rsidR="0060293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т проблему.</w:t>
      </w:r>
    </w:p>
    <w:p w14:paraId="165B5401" w14:textId="2FF47668" w:rsidR="001505E2" w:rsidRPr="001505E2" w:rsidRDefault="001505E2" w:rsidP="001505E2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5E2">
        <w:rPr>
          <w:rFonts w:ascii="Times New Roman" w:eastAsia="Times New Roman" w:hAnsi="Times New Roman" w:cs="Times New Roman"/>
          <w:sz w:val="24"/>
          <w:szCs w:val="24"/>
        </w:rPr>
        <w:t>Выполнение базового уровня программы мониторинга ЕМЕП является первоочередной задачей при расширении сети мониторинга в районах с небольшим количеством станций.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таблице 1 представлена информация о регистрируемых показателях при проведении наблюдений согласно Стратегии мониторинга ЕМЕП 2020-2029 в соответствии с базовым уровнем программы</w:t>
      </w:r>
      <w:r w:rsidR="00602939">
        <w:rPr>
          <w:rFonts w:ascii="Times New Roman" w:eastAsia="Times New Roman" w:hAnsi="Times New Roman" w:cs="Times New Roman"/>
          <w:sz w:val="24"/>
          <w:szCs w:val="24"/>
        </w:rPr>
        <w:t>, т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>акже указан</w:t>
      </w:r>
      <w:r w:rsidR="006029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периодичность проведения измерений</w:t>
      </w:r>
      <w:r w:rsidR="00602939">
        <w:rPr>
          <w:rFonts w:ascii="Times New Roman" w:eastAsia="Times New Roman" w:hAnsi="Times New Roman" w:cs="Times New Roman"/>
          <w:sz w:val="24"/>
          <w:szCs w:val="24"/>
        </w:rPr>
        <w:t>, д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аны рекомендации к материалам и оборудованию для отбора проб измеряемых показателей. Определены рекомендуемые методы измерения уровней загрязняющих воздух веществ. В таблице 1. представлены документы, в которых собраны методы, рекомендуемые для измерения показателей </w:t>
      </w:r>
      <w:r w:rsidR="006029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уровн</w:t>
      </w:r>
      <w:r w:rsidR="00955D1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05E2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14:paraId="00CB44A4" w14:textId="77777777" w:rsidR="00412206" w:rsidRDefault="00412206" w:rsidP="00412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4ECD2" w14:textId="77777777" w:rsidR="00412206" w:rsidRDefault="00412206" w:rsidP="00412206">
      <w:pPr>
        <w:jc w:val="right"/>
        <w:rPr>
          <w:rFonts w:ascii="Times New Roman" w:hAnsi="Times New Roman" w:cs="Times New Roman"/>
          <w:sz w:val="24"/>
          <w:szCs w:val="24"/>
        </w:rPr>
        <w:sectPr w:rsidR="00412206" w:rsidSect="0097036E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ACDF254" w14:textId="13F80BD9" w:rsidR="00412206" w:rsidRDefault="00EE45D7" w:rsidP="00EE45D7">
      <w:pPr>
        <w:tabs>
          <w:tab w:val="left" w:pos="720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2206">
        <w:rPr>
          <w:rFonts w:ascii="Times New Roman" w:hAnsi="Times New Roman" w:cs="Times New Roman"/>
          <w:sz w:val="24"/>
          <w:szCs w:val="24"/>
        </w:rPr>
        <w:t>Таблица 1.</w:t>
      </w:r>
    </w:p>
    <w:p w14:paraId="79D67523" w14:textId="7B29C191" w:rsidR="00412206" w:rsidRPr="00EE30E4" w:rsidRDefault="00412206" w:rsidP="00412206">
      <w:pPr>
        <w:pStyle w:val="a3"/>
        <w:spacing w:line="240" w:lineRule="auto"/>
        <w:ind w:left="7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Параметры измеряемые в соответствии с базов</w:t>
      </w:r>
      <w:r w:rsidR="00EF2277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м (1-м) уровнем программы мониторинга ЕМЕП</w:t>
      </w:r>
    </w:p>
    <w:tbl>
      <w:tblPr>
        <w:tblW w:w="150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1119"/>
        <w:gridCol w:w="3175"/>
        <w:gridCol w:w="1787"/>
        <w:gridCol w:w="2437"/>
        <w:gridCol w:w="2214"/>
        <w:gridCol w:w="2147"/>
      </w:tblGrid>
      <w:tr w:rsidR="00E300C4" w:rsidRPr="00AE75DD" w14:paraId="47301550" w14:textId="77777777" w:rsidTr="00A53816">
        <w:trPr>
          <w:trHeight w:val="1200"/>
          <w:tblHeader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358C89C" w14:textId="77777777" w:rsidR="00E300C4" w:rsidRPr="00AE75DD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7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параметра мониторинга (вещества)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6B739692" w14:textId="43E0606C" w:rsidR="00E300C4" w:rsidRPr="00AE75DD" w:rsidRDefault="00955D17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r w:rsidRPr="00AE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отбора</w:t>
            </w:r>
          </w:p>
        </w:tc>
        <w:tc>
          <w:tcPr>
            <w:tcW w:w="3175" w:type="dxa"/>
            <w:shd w:val="clear" w:color="auto" w:fill="auto"/>
          </w:tcPr>
          <w:p w14:paraId="4C6454C0" w14:textId="77777777" w:rsidR="00E300C4" w:rsidRPr="00AE75DD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 и материал для отбора проб</w:t>
            </w:r>
          </w:p>
        </w:tc>
        <w:tc>
          <w:tcPr>
            <w:tcW w:w="1787" w:type="dxa"/>
            <w:shd w:val="clear" w:color="auto" w:fill="auto"/>
          </w:tcPr>
          <w:p w14:paraId="40143160" w14:textId="77777777" w:rsidR="00E300C4" w:rsidRPr="00AE75DD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Рекомендованные методы определения</w:t>
            </w:r>
          </w:p>
        </w:tc>
        <w:tc>
          <w:tcPr>
            <w:tcW w:w="2437" w:type="dxa"/>
          </w:tcPr>
          <w:p w14:paraId="40BE35F6" w14:textId="332F0280" w:rsidR="00E300C4" w:rsidRPr="00AE75DD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метода</w:t>
            </w:r>
          </w:p>
        </w:tc>
        <w:tc>
          <w:tcPr>
            <w:tcW w:w="2214" w:type="dxa"/>
          </w:tcPr>
          <w:p w14:paraId="158BE67D" w14:textId="3198E5C1" w:rsidR="00E300C4" w:rsidRPr="00AE75DD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Рекомендуемое оборудование</w:t>
            </w:r>
          </w:p>
        </w:tc>
        <w:tc>
          <w:tcPr>
            <w:tcW w:w="2147" w:type="dxa"/>
            <w:shd w:val="clear" w:color="auto" w:fill="auto"/>
          </w:tcPr>
          <w:p w14:paraId="61B711BB" w14:textId="5B0979A0" w:rsidR="00E300C4" w:rsidRPr="00AE75DD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Документация по методам определения</w:t>
            </w:r>
          </w:p>
        </w:tc>
      </w:tr>
      <w:tr w:rsidR="00E300C4" w:rsidRPr="009424F2" w14:paraId="0ACD54E3" w14:textId="77777777" w:rsidTr="00C508E3">
        <w:trPr>
          <w:trHeight w:val="2182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AAE8ADC" w14:textId="27CF0346" w:rsidR="00E300C4" w:rsidRPr="00D77587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Неорганические вещества в атмосферных осадках (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2-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Mg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</w:t>
            </w:r>
            <w:r w:rsidRPr="007F6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B45E296" w14:textId="77777777" w:rsidR="00E300C4" w:rsidRPr="00D77587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3175" w:type="dxa"/>
            <w:shd w:val="clear" w:color="auto" w:fill="auto"/>
          </w:tcPr>
          <w:p w14:paraId="13124E6A" w14:textId="27191C1B" w:rsidR="00E300C4" w:rsidRPr="00D77587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Автоматическое </w:t>
            </w:r>
            <w:proofErr w:type="spellStart"/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пробоотборное</w:t>
            </w:r>
            <w:proofErr w:type="spellEnd"/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устройство для атмосферных осадков </w:t>
            </w:r>
            <w:r w:rsidR="004C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сосуды из материала, который не изменяет химического состава пробы, с открытой горизонтальной частью</w:t>
            </w:r>
            <w:r w:rsid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крышкой</w:t>
            </w:r>
          </w:p>
        </w:tc>
        <w:tc>
          <w:tcPr>
            <w:tcW w:w="1787" w:type="dxa"/>
            <w:shd w:val="clear" w:color="auto" w:fill="auto"/>
          </w:tcPr>
          <w:p w14:paraId="4056FBA5" w14:textId="3CB6B43F" w:rsidR="00E300C4" w:rsidRPr="00D77587" w:rsidRDefault="00E300C4" w:rsidP="00F8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Ионная хроматография (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для щелочных и щелочноземельных металлов – атомна</w:t>
            </w:r>
            <w:r w:rsidR="00CE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спектроскопия</w:t>
            </w:r>
            <w:r w:rsidR="00135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электротермической атомизацией)</w:t>
            </w:r>
          </w:p>
        </w:tc>
        <w:tc>
          <w:tcPr>
            <w:tcW w:w="2437" w:type="dxa"/>
          </w:tcPr>
          <w:p w14:paraId="72960554" w14:textId="542248FB" w:rsidR="00AC249B" w:rsidRDefault="00AC249B" w:rsidP="00F81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249B">
              <w:rPr>
                <w:rFonts w:ascii="Times New Roman" w:hAnsi="Times New Roman" w:cs="Times New Roman"/>
                <w:sz w:val="24"/>
                <w:szCs w:val="24"/>
              </w:rPr>
              <w:t xml:space="preserve">иапазон измеряемых концентраций данным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Pr="00AC249B">
              <w:rPr>
                <w:rFonts w:ascii="Times New Roman" w:hAnsi="Times New Roman" w:cs="Times New Roman"/>
                <w:sz w:val="24"/>
                <w:szCs w:val="24"/>
              </w:rPr>
              <w:t xml:space="preserve"> от 0,01 до 10 мкг/мл.</w:t>
            </w:r>
          </w:p>
          <w:p w14:paraId="338C1718" w14:textId="77777777" w:rsidR="00AC249B" w:rsidRDefault="00AC249B" w:rsidP="00F81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14:paraId="29AD279A" w14:textId="1489D8D1" w:rsidR="002F47C8" w:rsidRPr="00D77587" w:rsidRDefault="002F47C8" w:rsidP="00F81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73DC30C4" w14:textId="46F7C3AD" w:rsidR="00A64B36" w:rsidRDefault="00A64B36" w:rsidP="0079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 w:rsidR="00CF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хроматограф</w:t>
            </w:r>
            <w:r w:rsidR="00CF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F62FD6E" w14:textId="4AEEDF90" w:rsidR="00435191" w:rsidRDefault="009424F2" w:rsidP="0079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BIOBASE </w:t>
            </w:r>
            <w:r w:rsid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(Например, </w:t>
            </w:r>
            <w:r w:rsidR="00435191"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BK-IC120</w:t>
            </w:r>
            <w:r w:rsid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5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F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191"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Dionex</w:t>
            </w:r>
            <w:proofErr w:type="spellEnd"/>
            <w:r w:rsidR="00435191"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(например, </w:t>
            </w:r>
            <w:proofErr w:type="spellStart"/>
            <w:r w:rsidR="00A64B36"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Dionex</w:t>
            </w:r>
            <w:proofErr w:type="spellEnd"/>
            <w:r w:rsidR="00A64B36"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ICS-4000</w:t>
            </w:r>
            <w:r w:rsid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5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F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191"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Agilent</w:t>
            </w:r>
            <w:proofErr w:type="spellEnd"/>
            <w:r w:rsidR="00435191"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хуже </w:t>
            </w:r>
            <w:proofErr w:type="spellStart"/>
            <w:r w:rsidR="00435191"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Agilent</w:t>
            </w:r>
            <w:proofErr w:type="spellEnd"/>
            <w:r w:rsidR="00435191"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1200</w:t>
            </w:r>
            <w:r w:rsid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5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EBCEA9" w14:textId="62813C04" w:rsidR="00A64B36" w:rsidRDefault="00A64B36" w:rsidP="0079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Атомная спектроскопия:</w:t>
            </w:r>
          </w:p>
          <w:p w14:paraId="366B19D0" w14:textId="441A6D99" w:rsidR="006E2C87" w:rsidRDefault="00A64B36" w:rsidP="0079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ААС Квант</w:t>
            </w:r>
            <w:r w:rsidR="00C5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Люмекс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ААС </w:t>
            </w:r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«МГА-1000»</w:t>
            </w:r>
            <w:r w:rsidR="00C50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9BAABA" w14:textId="42A32EC5" w:rsidR="002D79FA" w:rsidRPr="00CF667A" w:rsidRDefault="009424F2" w:rsidP="0079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Механические дозаторы</w:t>
            </w:r>
            <w:r w:rsidR="003B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например, </w:t>
            </w:r>
            <w:proofErr w:type="spellStart"/>
            <w:r w:rsid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3B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кохим</w:t>
            </w:r>
            <w:proofErr w:type="spellEnd"/>
            <w:r w:rsidR="003B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Экрос</w:t>
            </w:r>
            <w:r w:rsid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proofErr w:type="spellEnd"/>
            <w:r w:rsidR="003B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F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79FA"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Sartorius</w:t>
            </w:r>
            <w:proofErr w:type="spellEnd"/>
            <w:r w:rsidR="002D79FA"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D79FA"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аналоги</w:t>
            </w:r>
            <w:r w:rsidR="00CF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Ультразвуковая баня с подогревом</w:t>
            </w:r>
          </w:p>
        </w:tc>
        <w:tc>
          <w:tcPr>
            <w:tcW w:w="2147" w:type="dxa"/>
            <w:shd w:val="clear" w:color="auto" w:fill="auto"/>
          </w:tcPr>
          <w:p w14:paraId="101DA600" w14:textId="77777777" w:rsidR="00E300C4" w:rsidRPr="005C59F2" w:rsidRDefault="00E300C4" w:rsidP="00F81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EMEP Manual for Sampling and Chemical Analysis. </w:t>
            </w:r>
          </w:p>
          <w:p w14:paraId="4D2C9255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6400B930" w14:textId="30E1454E" w:rsidR="0002352F" w:rsidRPr="00C36FFC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02352F" w:rsidRPr="001505E2" w14:paraId="1C95ED00" w14:textId="77777777" w:rsidTr="00C508E3">
        <w:trPr>
          <w:trHeight w:val="1148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023E31E7" w14:textId="59C40E06" w:rsidR="0002352F" w:rsidRPr="00486E9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Диоксид серы 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атмосферном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Неорганические вещества в атмосферном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3FE61CC0" w14:textId="77777777" w:rsidR="0002352F" w:rsidRPr="00F63F04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3175" w:type="dxa"/>
            <w:shd w:val="clear" w:color="auto" w:fill="auto"/>
          </w:tcPr>
          <w:p w14:paraId="79E9CB23" w14:textId="3A57E328" w:rsidR="0002352F" w:rsidRPr="00F63F04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Целлюлозный фильтр, пропитанный щелочным раствором KOH.</w:t>
            </w:r>
          </w:p>
          <w:p w14:paraId="417ED9D3" w14:textId="44FAC5A3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Типичный объем воздуха, интенсивность пробоотбора и линейная скорость на фильтрах составляют 20 м3, 15 л/мин и 15 см/с, соответственно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B66616" w14:textId="751F0139" w:rsidR="0002352F" w:rsidRPr="00F63F04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F63F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При низкой относительной влажности (менее 30%) необходимо добавление глицерина для повышения эффективности улавливания пропитанных фильтров.</w:t>
            </w:r>
          </w:p>
          <w:p w14:paraId="2C774C56" w14:textId="77777777" w:rsidR="0002352F" w:rsidRPr="00486E9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F63F0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**</w:t>
            </w:r>
          </w:p>
        </w:tc>
        <w:tc>
          <w:tcPr>
            <w:tcW w:w="1787" w:type="dxa"/>
            <w:shd w:val="clear" w:color="auto" w:fill="auto"/>
          </w:tcPr>
          <w:p w14:paraId="77B839E8" w14:textId="77777777" w:rsidR="0002352F" w:rsidRPr="00486E9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Ионная хроматография (</w:t>
            </w: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</w:t>
            </w: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7" w:type="dxa"/>
          </w:tcPr>
          <w:p w14:paraId="5559964C" w14:textId="6EBDB036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6810">
              <w:rPr>
                <w:rFonts w:ascii="Times New Roman" w:hAnsi="Times New Roman" w:cs="Times New Roman"/>
                <w:sz w:val="24"/>
                <w:szCs w:val="24"/>
              </w:rPr>
              <w:t xml:space="preserve">иапазон измеряемых концентраций данным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Pr="00056810">
              <w:rPr>
                <w:rFonts w:ascii="Times New Roman" w:hAnsi="Times New Roman" w:cs="Times New Roman"/>
                <w:sz w:val="24"/>
                <w:szCs w:val="24"/>
              </w:rPr>
              <w:t xml:space="preserve"> от 0,01 до 10 мкг/мл.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C6">
              <w:rPr>
                <w:rFonts w:ascii="Times New Roman" w:hAnsi="Times New Roman" w:cs="Times New Roman"/>
                <w:sz w:val="24"/>
                <w:szCs w:val="24"/>
              </w:rPr>
              <w:t xml:space="preserve">[2]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 107)</w:t>
            </w:r>
          </w:p>
          <w:p w14:paraId="62AC6050" w14:textId="28949E20" w:rsidR="0002352F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диапазон измеряемых в воздухе концентраций (в расчете на объем экстракта 10 мл, объем прокачиваемого воздуха от 20 до 50 м3): от 2*10</w:t>
            </w:r>
            <w:r w:rsidRPr="003B00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г/м</w:t>
            </w:r>
            <w:r w:rsidRPr="003B00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15BC8C3" w14:textId="7D456456" w:rsidR="0002352F" w:rsidRPr="00EE6E2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пробы воздуха объемом 1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диапазон измерений составляет приблизительно от 0,005 до 2,0 мг/м</w:t>
            </w:r>
            <w:r w:rsidR="00AB14DA">
              <w:rPr>
                <w:rFonts w:ascii="Times New Roman" w:hAnsi="Times New Roman" w:cs="Times New Roman"/>
                <w:sz w:val="24"/>
                <w:szCs w:val="24"/>
              </w:rPr>
              <w:t>3 (в виде серной кислоты)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14:paraId="4AE8F328" w14:textId="6E9447D7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хроматограф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ы: </w:t>
            </w:r>
            <w:r w:rsidRPr="0094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BIOBASE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(Например, </w:t>
            </w:r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BK-IC120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Dionex</w:t>
            </w:r>
            <w:proofErr w:type="spellEnd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Dionex</w:t>
            </w:r>
            <w:proofErr w:type="spellEnd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ICS-4000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Agilent</w:t>
            </w:r>
            <w:proofErr w:type="spellEnd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хуже </w:t>
            </w:r>
            <w:proofErr w:type="spellStart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Agilent</w:t>
            </w:r>
            <w:proofErr w:type="spellEnd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332868CF" w14:textId="466B9329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Механические дозаторы, 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Экохим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ЭкросХим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Sartorius</w:t>
            </w:r>
            <w:proofErr w:type="spellEnd"/>
            <w:r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аналоги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3A38E2" w14:textId="5E5A6446" w:rsidR="0002352F" w:rsidRPr="00056810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Ультразвуковая баня с подогревом.</w:t>
            </w:r>
          </w:p>
        </w:tc>
        <w:tc>
          <w:tcPr>
            <w:tcW w:w="2147" w:type="dxa"/>
            <w:shd w:val="clear" w:color="auto" w:fill="auto"/>
          </w:tcPr>
          <w:p w14:paraId="4140AFA3" w14:textId="77777777" w:rsidR="0002352F" w:rsidRP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EMEP Manual for Sampling and Chemical Analysis. </w:t>
            </w:r>
          </w:p>
          <w:p w14:paraId="699ED2DC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71928219" w14:textId="2499F45F" w:rsidR="0002352F" w:rsidRPr="003029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52F" w:rsidRPr="001505E2" w14:paraId="3CD02D06" w14:textId="77777777" w:rsidTr="00C508E3">
        <w:trPr>
          <w:trHeight w:val="300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EB1CC7A" w14:textId="08E16CFF" w:rsidR="0002352F" w:rsidRPr="00CE05C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Неорганические вещества в атмосферном 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воздухе (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HNO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 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 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HCl</w:t>
            </w:r>
            <w:r w:rsidRPr="00061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,)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446A2AAA" w14:textId="77777777" w:rsidR="0002352F" w:rsidRPr="00CE05C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часа</w:t>
            </w:r>
          </w:p>
        </w:tc>
        <w:tc>
          <w:tcPr>
            <w:tcW w:w="3175" w:type="dxa"/>
            <w:shd w:val="clear" w:color="auto" w:fill="auto"/>
          </w:tcPr>
          <w:p w14:paraId="008235B7" w14:textId="76488803" w:rsidR="0002352F" w:rsidRPr="00F63F04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ропитанный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F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еллюлозный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кварцевый</w:t>
            </w:r>
            <w:r w:rsidRPr="00F63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фильтр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5368FA" w14:textId="75B0193E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E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бъем воздуха,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пропускаемый через фильтр за сутки от </w:t>
            </w:r>
            <w:r w:rsidRPr="00E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50</w:t>
            </w:r>
            <w:r w:rsidRPr="00EE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EEFAD8" w14:textId="77777777" w:rsidR="0002352F" w:rsidRPr="00D50B5C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низкой относительной влажности (менее 30%) необходимо добавление глицерина для повышения эффективности улавливания пропитанных фильтров.</w:t>
            </w:r>
          </w:p>
          <w:p w14:paraId="6F0BD9F3" w14:textId="6B19DC0A" w:rsidR="0002352F" w:rsidRPr="00486E9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787" w:type="dxa"/>
            <w:shd w:val="clear" w:color="auto" w:fill="auto"/>
          </w:tcPr>
          <w:p w14:paraId="34B52029" w14:textId="5A1B4A3B" w:rsidR="0002352F" w:rsidRPr="00486E9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Ионная хроматография (</w:t>
            </w: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</w:t>
            </w: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7" w:type="dxa"/>
          </w:tcPr>
          <w:p w14:paraId="63FB97EB" w14:textId="4328BF00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6810">
              <w:rPr>
                <w:rFonts w:ascii="Times New Roman" w:hAnsi="Times New Roman" w:cs="Times New Roman"/>
                <w:sz w:val="24"/>
                <w:szCs w:val="24"/>
              </w:rPr>
              <w:t xml:space="preserve">иапазон измеряемых концентраций данным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</w:t>
            </w:r>
            <w:r w:rsidRPr="00056810">
              <w:rPr>
                <w:rFonts w:ascii="Times New Roman" w:hAnsi="Times New Roman" w:cs="Times New Roman"/>
                <w:sz w:val="24"/>
                <w:szCs w:val="24"/>
              </w:rPr>
              <w:t xml:space="preserve"> от 0,01 до 10 мкг/мл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 xml:space="preserve"> [2]</w:t>
            </w:r>
            <w:r w:rsidRPr="00056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107)</w:t>
            </w:r>
          </w:p>
          <w:p w14:paraId="0AC0C392" w14:textId="5773D193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определяемых концентраций аммиака в атмосферном воздухе от 0,034 до 8500 мг/м3 (при единоразовом отборе проб в течение 30 минут со скоростью отбора 12 л/час).</w:t>
            </w:r>
          </w:p>
          <w:p w14:paraId="182C052D" w14:textId="09DD4673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определяемых концентраций кислотных газов в атмосферном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воздухе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0,01 до 750 мг/м3 (при единоразовом отборе проб в течение 30 минут со скоростью отбора 20 л/час)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 xml:space="preserve"> [9]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D31CA" w14:textId="62B65884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Для пробы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воздуха объемом 240 л диапазон измерений для HCI</w:t>
            </w:r>
            <w:r w:rsidR="00AB14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НВг</w:t>
            </w:r>
            <w:proofErr w:type="spellEnd"/>
            <w:r w:rsidRPr="00751A0A">
              <w:rPr>
                <w:rFonts w:ascii="Times New Roman" w:hAnsi="Times New Roman" w:cs="Times New Roman"/>
                <w:sz w:val="24"/>
                <w:szCs w:val="24"/>
              </w:rPr>
              <w:t xml:space="preserve"> и HNO</w:t>
            </w:r>
            <w:r w:rsidRPr="00FF4A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 xml:space="preserve">оставляет 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приблизительно от 0,04 до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A0A">
              <w:rPr>
                <w:rFonts w:ascii="Times New Roman" w:hAnsi="Times New Roman" w:cs="Times New Roman"/>
                <w:sz w:val="24"/>
                <w:szCs w:val="24"/>
              </w:rPr>
              <w:t>10 мг/м3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1DB">
              <w:rPr>
                <w:rFonts w:ascii="Times New Roman" w:hAnsi="Times New Roman" w:cs="Times New Roman"/>
                <w:sz w:val="24"/>
                <w:szCs w:val="24"/>
              </w:rPr>
              <w:t>[11</w:t>
            </w:r>
            <w:r w:rsidRPr="00E90AD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(возможен более продолжительный отбор проб и увеличенный отбор в случае более низких концентраций).</w:t>
            </w:r>
          </w:p>
          <w:p w14:paraId="3776CD0F" w14:textId="38A8A9E2" w:rsidR="0002352F" w:rsidRPr="00CF667A" w:rsidRDefault="0002352F" w:rsidP="0002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диапазон измеряемых в воздухе концентраций (в расчете на объем экстракта 10 мл, объем прокачиваемого воздуха от 20 до 50 м3): от 2*10</w:t>
            </w:r>
            <w:r w:rsidRPr="003B00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г/м</w:t>
            </w:r>
            <w:r w:rsidRPr="003B00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184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адаптации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14184A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>[11]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диапазон измеряемых концентраций от 0,0005 до 0,5 мг/м3.</w:t>
            </w:r>
          </w:p>
        </w:tc>
        <w:tc>
          <w:tcPr>
            <w:tcW w:w="2214" w:type="dxa"/>
          </w:tcPr>
          <w:p w14:paraId="2FACDDBA" w14:textId="54A4481A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хроматограф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</w:p>
          <w:p w14:paraId="36D1BD62" w14:textId="6C6C1C5F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BIOBASE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(Например, </w:t>
            </w:r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BK-</w:t>
            </w:r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IC120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Dionex</w:t>
            </w:r>
            <w:proofErr w:type="spellEnd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(например, </w:t>
            </w:r>
            <w:proofErr w:type="spellStart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Dionex</w:t>
            </w:r>
            <w:proofErr w:type="spellEnd"/>
            <w:r w:rsidRPr="00A64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ICS-4000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Agilent</w:t>
            </w:r>
            <w:proofErr w:type="spellEnd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хуже </w:t>
            </w:r>
            <w:proofErr w:type="spellStart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Agilent</w:t>
            </w:r>
            <w:proofErr w:type="spellEnd"/>
            <w:r w:rsidRPr="0043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275B1B11" w14:textId="223B8C4F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Механические дозаторы, 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Экохим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ЭкросХим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или </w:t>
            </w:r>
            <w:proofErr w:type="spellStart"/>
            <w:r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Sartorius</w:t>
            </w:r>
            <w:proofErr w:type="spellEnd"/>
            <w:r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аналоги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91E927" w14:textId="6D2A1312" w:rsidR="0002352F" w:rsidRPr="00CE05C5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Ультразвуковая баня с подогревом</w:t>
            </w:r>
          </w:p>
        </w:tc>
        <w:tc>
          <w:tcPr>
            <w:tcW w:w="2147" w:type="dxa"/>
            <w:shd w:val="clear" w:color="auto" w:fill="auto"/>
          </w:tcPr>
          <w:p w14:paraId="286189F0" w14:textId="77777777" w:rsidR="0002352F" w:rsidRP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EMEP Manual for Sampling and Chemical Analysis. </w:t>
            </w:r>
          </w:p>
          <w:p w14:paraId="40F58AA3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239F997E" w14:textId="56FFA4C9" w:rsidR="0002352F" w:rsidRPr="003029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52F" w:rsidRPr="00560F55" w14:paraId="3ECFA145" w14:textId="77777777" w:rsidTr="00C508E3">
        <w:trPr>
          <w:trHeight w:val="300"/>
        </w:trPr>
        <w:tc>
          <w:tcPr>
            <w:tcW w:w="2147" w:type="dxa"/>
            <w:shd w:val="clear" w:color="auto" w:fill="auto"/>
            <w:noWrap/>
          </w:tcPr>
          <w:p w14:paraId="0FD33CDC" w14:textId="258FCEC2" w:rsidR="0002352F" w:rsidRPr="00CE05C5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Неорганические вещества в атмосферном воздухе (Сумма </w:t>
            </w:r>
            <w:r w:rsidRPr="00E9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 w:rsidRPr="00E9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 сумма </w:t>
            </w:r>
            <w:r w:rsidRPr="00E9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</w:t>
            </w:r>
            <w:r w:rsidRPr="00E9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35D27F31" w14:textId="18FBBF52" w:rsidR="0002352F" w:rsidRPr="00CE05C5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часа</w:t>
            </w:r>
          </w:p>
        </w:tc>
        <w:tc>
          <w:tcPr>
            <w:tcW w:w="3175" w:type="dxa"/>
            <w:shd w:val="clear" w:color="auto" w:fill="auto"/>
          </w:tcPr>
          <w:p w14:paraId="05CD9D84" w14:textId="668ECFA1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Газообразная азотная кислота: </w:t>
            </w: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фильтр, пропитанный щелочью KOH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(устанавливается в системе кассетных фильтров после аэрозольного фильтра).</w:t>
            </w:r>
          </w:p>
          <w:p w14:paraId="0FC042E9" w14:textId="1FE7FA3A" w:rsidR="0002352F" w:rsidRPr="00CE05C5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Газообразный аммиак: </w:t>
            </w:r>
          </w:p>
          <w:p w14:paraId="15356379" w14:textId="77777777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фильтр, пропитанный щавелевой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лимонной</w:t>
            </w:r>
            <w:r w:rsidRPr="005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(устанавливается в системе кассетных фильтров после фильтра для отбора азотной кислоты).</w:t>
            </w:r>
          </w:p>
          <w:p w14:paraId="67664846" w14:textId="08A5D4F8" w:rsidR="0002352F" w:rsidRPr="00CE05C5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проводится со средней скоростью от 8 до 50 м3 в сутки. </w:t>
            </w:r>
          </w:p>
        </w:tc>
        <w:tc>
          <w:tcPr>
            <w:tcW w:w="1787" w:type="dxa"/>
            <w:shd w:val="clear" w:color="auto" w:fill="auto"/>
          </w:tcPr>
          <w:p w14:paraId="59EF9E96" w14:textId="2D89E7BC" w:rsidR="0002352F" w:rsidRPr="00CE05C5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Ионная хроматография</w:t>
            </w:r>
            <w:r w:rsidRPr="00CE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(IC)</w:t>
            </w:r>
          </w:p>
        </w:tc>
        <w:tc>
          <w:tcPr>
            <w:tcW w:w="2437" w:type="dxa"/>
          </w:tcPr>
          <w:p w14:paraId="06B3EAAA" w14:textId="21C30EEC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диапазон измеряемых в воздухе концентраций (в расчете на объем экстракта 10 мл, объем прокачиваемого воздуха от 8 до 50 м3): от 0,8*10</w:t>
            </w:r>
            <w:r w:rsidRPr="003B00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 г/м</w:t>
            </w:r>
            <w:r w:rsidRPr="003B00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A3D5AE" w14:textId="0C51D25B" w:rsidR="0002352F" w:rsidRPr="00267087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4F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F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10</w:t>
            </w:r>
            <w:r w:rsidRPr="004F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мг/м</w:t>
            </w:r>
            <w:proofErr w:type="gramStart"/>
            <w:r w:rsidRPr="004F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пределы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допускаемой погрешности измерений 25-72% </w:t>
            </w:r>
            <w:r w:rsidRPr="0026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[17]/</w:t>
            </w:r>
          </w:p>
        </w:tc>
        <w:tc>
          <w:tcPr>
            <w:tcW w:w="2214" w:type="dxa"/>
          </w:tcPr>
          <w:p w14:paraId="5BE4C3C9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Ионные хроматографы:</w:t>
            </w:r>
          </w:p>
          <w:p w14:paraId="7237E9C8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BIOBASE (Например, BK-IC120),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ICS-4000),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(не хуже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1200).</w:t>
            </w:r>
          </w:p>
          <w:p w14:paraId="66108FD8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Атомная спектроскопия:</w:t>
            </w:r>
          </w:p>
          <w:p w14:paraId="246B4AC8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Кортек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- ААС Квант,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Люмекс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– ААС «МГА-1000».</w:t>
            </w:r>
          </w:p>
          <w:p w14:paraId="4320910E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дозаторы, например,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Экохим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ЭкросХим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Sartorius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аналоги. Ультразвуковая баня с подогревом</w:t>
            </w:r>
          </w:p>
          <w:p w14:paraId="53699AFB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Ионные хроматографы: BIOBASE (Например, BK-IC120),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ICS-4000),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(не хуже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1200).</w:t>
            </w:r>
          </w:p>
          <w:p w14:paraId="156B614F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дозаторы, например,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Экохим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ЭкросХим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Sartorius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аналоги.</w:t>
            </w:r>
          </w:p>
          <w:p w14:paraId="20495159" w14:textId="5380CA2C" w:rsidR="0002352F" w:rsidRPr="00CE05C5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Ультразвуковая баня с подогревом.</w:t>
            </w:r>
          </w:p>
        </w:tc>
        <w:tc>
          <w:tcPr>
            <w:tcW w:w="2147" w:type="dxa"/>
            <w:shd w:val="clear" w:color="auto" w:fill="auto"/>
          </w:tcPr>
          <w:p w14:paraId="76DC426D" w14:textId="77777777" w:rsidR="0002352F" w:rsidRP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EMEP Manual for Sampling and Chemical Analysis. </w:t>
            </w:r>
          </w:p>
          <w:p w14:paraId="7AED4FCC" w14:textId="7D1B3D3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094771B6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</w:p>
          <w:p w14:paraId="14E21728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Правительства РФ</w:t>
            </w:r>
          </w:p>
          <w:p w14:paraId="409F0A4F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 ноября 2020 г.</w:t>
            </w:r>
          </w:p>
          <w:p w14:paraId="305B5C0E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1847 &amp;</w:t>
            </w:r>
            <w:proofErr w:type="spellStart"/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quot;Об</w:t>
            </w:r>
            <w:proofErr w:type="spellEnd"/>
            <w:proofErr w:type="gramEnd"/>
          </w:p>
          <w:p w14:paraId="3BE75961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утверждении</w:t>
            </w:r>
          </w:p>
          <w:p w14:paraId="355CC557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перечня измерений,</w:t>
            </w:r>
          </w:p>
          <w:p w14:paraId="430B720C" w14:textId="77777777" w:rsidR="0002352F" w:rsidRP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относящихся к</w:t>
            </w:r>
          </w:p>
          <w:p w14:paraId="19086DC7" w14:textId="29230F3A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</w:p>
          <w:p w14:paraId="37C294B4" w14:textId="7F082765" w:rsidR="0002352F" w:rsidRPr="00695E00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52F" w:rsidRPr="005C59F2" w14:paraId="58D2478B" w14:textId="77777777" w:rsidTr="00C508E3">
        <w:trPr>
          <w:trHeight w:val="300"/>
        </w:trPr>
        <w:tc>
          <w:tcPr>
            <w:tcW w:w="2147" w:type="dxa"/>
            <w:shd w:val="clear" w:color="auto" w:fill="auto"/>
            <w:noWrap/>
          </w:tcPr>
          <w:p w14:paraId="2227D91A" w14:textId="0AA18C99" w:rsidR="0002352F" w:rsidRPr="005C59F2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Неорганические вещества в атмосферном воздухе </w:t>
            </w:r>
          </w:p>
          <w:p w14:paraId="4CBA1C6B" w14:textId="7A0BA628" w:rsidR="0002352F" w:rsidRPr="005C59F2" w:rsidRDefault="0002352F" w:rsidP="000235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(аэрозольные </w:t>
            </w: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42-, </w:t>
            </w: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>– ,</w:t>
            </w:r>
            <w:proofErr w:type="gramEnd"/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>4 +)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45D05B5E" w14:textId="77777777" w:rsidR="0002352F" w:rsidRPr="005C59F2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F2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3175" w:type="dxa"/>
            <w:shd w:val="clear" w:color="auto" w:fill="auto"/>
          </w:tcPr>
          <w:p w14:paraId="6B65D82B" w14:textId="39C69691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Тефлоновый (</w:t>
            </w:r>
            <w:r w:rsidRPr="00D24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µm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или целлюлозный аэрозольный фильтр.</w:t>
            </w:r>
          </w:p>
          <w:p w14:paraId="7DC5CFDC" w14:textId="153FC740" w:rsidR="0002352F" w:rsidRPr="00F63F04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Усредненные характеристики насоса: </w:t>
            </w:r>
            <w:r w:rsidRPr="00D24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 в 15 л/мин при перепаде давления порядка 10-20 кПа (0.1 </w:t>
            </w:r>
            <w:proofErr w:type="spellStart"/>
            <w:r w:rsidRPr="00D24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D24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7" w:type="dxa"/>
            <w:shd w:val="clear" w:color="auto" w:fill="auto"/>
          </w:tcPr>
          <w:p w14:paraId="0F12E034" w14:textId="77777777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Ионная хроматография (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</w:t>
            </w:r>
            <w:r w:rsidRPr="00D7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для щелочных и щелочноземельных металлов – атомная спектроскопия (с электротермической атомизацией)</w:t>
            </w:r>
          </w:p>
          <w:p w14:paraId="28C4358A" w14:textId="4C0259B6" w:rsidR="0002352F" w:rsidRPr="00486E9D" w:rsidRDefault="0002352F" w:rsidP="000235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натрия и калия методом пламенно-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эмиссионной спектрометрии</w:t>
            </w:r>
          </w:p>
        </w:tc>
        <w:tc>
          <w:tcPr>
            <w:tcW w:w="2437" w:type="dxa"/>
          </w:tcPr>
          <w:p w14:paraId="09EA2CB3" w14:textId="77777777" w:rsidR="0002352F" w:rsidRDefault="0002352F" w:rsidP="000235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измерений концентрации в фракции PM2,5 измерения возможно при содержании пыли в диапазоне от 1-120 </w:t>
            </w:r>
            <w:proofErr w:type="spellStart"/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мгк</w:t>
            </w:r>
            <w:proofErr w:type="spellEnd"/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. Диапазоны измерения ионов в PM2,5:</w:t>
            </w:r>
          </w:p>
          <w:p w14:paraId="174A3DB9" w14:textId="7777777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- от 0,001 до 1,4 мг/м3;</w:t>
            </w:r>
          </w:p>
          <w:p w14:paraId="18615C03" w14:textId="7777777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NO3 – от 0,002 до 29 мг/м3;</w:t>
            </w:r>
          </w:p>
          <w:p w14:paraId="4A4ACC44" w14:textId="7777777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 xml:space="preserve"> SO4 2-от 0,05 до 13 мг/м3;</w:t>
            </w:r>
          </w:p>
          <w:p w14:paraId="7A4F1465" w14:textId="7777777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Na+ от 0,003 до 1,9 мг/м3; </w:t>
            </w:r>
          </w:p>
          <w:p w14:paraId="1FCB2B8B" w14:textId="50522480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NH4+ от 0,04 до 11 мг/м3;</w:t>
            </w:r>
          </w:p>
          <w:p w14:paraId="749F2FC5" w14:textId="7777777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 xml:space="preserve">K+ от 0,003 до 0,49 мг/м3; </w:t>
            </w:r>
          </w:p>
          <w:p w14:paraId="6F1845C2" w14:textId="7777777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 xml:space="preserve">Mg2+ от 0,001 до 0,38 мг/м3; </w:t>
            </w:r>
          </w:p>
          <w:p w14:paraId="7DCF1525" w14:textId="19F88BCF" w:rsidR="0002352F" w:rsidRPr="00D37B5B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ind w:left="0" w:righ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Ca2+ от 0,002 до 0,72 мг/м3.</w:t>
            </w:r>
          </w:p>
        </w:tc>
        <w:tc>
          <w:tcPr>
            <w:tcW w:w="2214" w:type="dxa"/>
          </w:tcPr>
          <w:p w14:paraId="4B549B5F" w14:textId="77777777" w:rsidR="0002352F" w:rsidRPr="007F6B3C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Ионные хроматографы:</w:t>
            </w:r>
          </w:p>
          <w:p w14:paraId="07D97A56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BIOBASE (Например, BK-IC120),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ICS-4000),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(не хуже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1200).</w:t>
            </w:r>
          </w:p>
          <w:p w14:paraId="3D36DB28" w14:textId="77777777" w:rsidR="0002352F" w:rsidRPr="007F6B3C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Атомная спектроскопия:</w:t>
            </w:r>
          </w:p>
          <w:p w14:paraId="7C8263EC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Кортек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- ААС Квант,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Люмекс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– ААС «МГА-1000».</w:t>
            </w:r>
          </w:p>
          <w:p w14:paraId="31403F22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дозаторы, например,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Экохим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ЭкросХим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Sartorius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7F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аналоги. Ультразвуковая баня с подогревом</w:t>
            </w:r>
          </w:p>
          <w:p w14:paraId="08C2D27F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Ионные хроматографы: BIOBASE (Например, BK-IC120),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Dionex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ICS-4000),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(не хуже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1200).</w:t>
            </w:r>
          </w:p>
          <w:p w14:paraId="35120F21" w14:textId="77777777" w:rsidR="0002352F" w:rsidRPr="007F6B3C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дозаторы, например,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Экохим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ЭкросХим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Sartorius</w:t>
            </w:r>
            <w:proofErr w:type="spellEnd"/>
            <w:r w:rsidRPr="007F6B3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аналоги.</w:t>
            </w:r>
          </w:p>
          <w:p w14:paraId="1ED5589D" w14:textId="10DB3949" w:rsidR="0002352F" w:rsidRPr="00D24FDD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F6B3C">
              <w:rPr>
                <w:rFonts w:ascii="Times New Roman" w:hAnsi="Times New Roman" w:cs="Times New Roman"/>
                <w:sz w:val="24"/>
                <w:szCs w:val="24"/>
              </w:rPr>
              <w:t>Ультразвуковая баня с подогревом.</w:t>
            </w:r>
          </w:p>
        </w:tc>
        <w:tc>
          <w:tcPr>
            <w:tcW w:w="2147" w:type="dxa"/>
            <w:shd w:val="clear" w:color="auto" w:fill="auto"/>
          </w:tcPr>
          <w:p w14:paraId="1FBE64BE" w14:textId="77777777" w:rsidR="0002352F" w:rsidRP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EMEP Manual for Sampling and Chemical Analysis. </w:t>
            </w:r>
          </w:p>
          <w:p w14:paraId="662B9D45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431FB0F9" w14:textId="4D78B4EC" w:rsidR="00AB14DA" w:rsidRPr="00AB14DA" w:rsidRDefault="00AB14DA" w:rsidP="00AB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 16913:2017</w:t>
            </w:r>
          </w:p>
          <w:p w14:paraId="63AD6337" w14:textId="77777777" w:rsidR="0002352F" w:rsidRDefault="00AB14DA" w:rsidP="00AB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air - Standard method for measurement of NO3¯, SO4²¯, Cl¯, NH4+, Na+, K+, Mg²+, Ca²+ in PM2,5 as deposited on filters</w:t>
            </w:r>
          </w:p>
          <w:p w14:paraId="452AB9E1" w14:textId="0C50D94E" w:rsidR="00AB14DA" w:rsidRPr="00AB14DA" w:rsidRDefault="00AB14DA" w:rsidP="00AB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CEN/TR 16269:2011</w:t>
            </w:r>
          </w:p>
          <w:p w14:paraId="0A46CA79" w14:textId="1329D005" w:rsidR="00AB14DA" w:rsidRPr="00AB14DA" w:rsidRDefault="00AB14DA" w:rsidP="00AB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AB1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air - Guide for the measurement of anions and cations in PM2,5</w:t>
            </w:r>
          </w:p>
        </w:tc>
      </w:tr>
      <w:tr w:rsidR="0002352F" w:rsidRPr="00522D75" w14:paraId="10E083DE" w14:textId="77777777" w:rsidTr="00C508E3">
        <w:trPr>
          <w:trHeight w:val="600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348CB6D4" w14:textId="541DE7A1" w:rsidR="0002352F" w:rsidRPr="002877E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Черный углерод в</w:t>
            </w:r>
            <w:r w:rsidRPr="0028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PM2,5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5EFAEEB" w14:textId="77777777" w:rsidR="0002352F" w:rsidRPr="002877E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часа /7d</w:t>
            </w:r>
          </w:p>
        </w:tc>
        <w:tc>
          <w:tcPr>
            <w:tcW w:w="3175" w:type="dxa"/>
            <w:shd w:val="clear" w:color="auto" w:fill="auto"/>
          </w:tcPr>
          <w:p w14:paraId="6697CB43" w14:textId="77777777" w:rsidR="0002352F" w:rsidRPr="00A53816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Измеритель аэрозольных частиц </w:t>
            </w:r>
            <w:proofErr w:type="spellStart"/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импакторный</w:t>
            </w:r>
            <w:proofErr w:type="spellEnd"/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четырехкаскадный– 2 шт.</w:t>
            </w:r>
          </w:p>
          <w:p w14:paraId="685DC0C6" w14:textId="0CEF0AA3" w:rsidR="0002352F" w:rsidRPr="00A53816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Счетчик газа диафрагменный типа </w:t>
            </w: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BK</w:t>
            </w: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1,6 зарегистрированный в государственном реестре, с пределом допускаемой погрешности +3 % или аналог – 2 шт.</w:t>
            </w:r>
          </w:p>
          <w:p w14:paraId="6FB95A4C" w14:textId="4977D4C0" w:rsidR="0002352F" w:rsidRPr="00A53816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Ротаметр – 2 шт.</w:t>
            </w:r>
          </w:p>
          <w:p w14:paraId="34CA04CE" w14:textId="25792AA6" w:rsidR="0002352F" w:rsidRPr="00A53816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Насос мембранный с возможностью регулировки расхода воздуха – 2 шт. </w:t>
            </w:r>
          </w:p>
          <w:p w14:paraId="51C34550" w14:textId="7FCE13F4" w:rsidR="0002352F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Фильтры кварцевые стекловолоконные типа </w:t>
            </w: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Whatman</w:t>
            </w:r>
            <w:r w:rsidRPr="00A5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диаметром не более 25 мм.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4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 применять другие средства измерения и вспомогательные устройства с метрологическими и техническими характеристиками, не хуже указанных.</w:t>
            </w:r>
          </w:p>
          <w:p w14:paraId="08BA4234" w14:textId="60E6BDF7" w:rsidR="0002352F" w:rsidRPr="00A53816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Допускается использование пластиковых емкостей с открытой горизонтальной частью из полиэтилена высокого давления (или иного типа пластика, не загрязняющего пробу) белого или прозрачного цвета. Либо конструкция, состоящая из пробоотборной воронки и пробоотборной емкости, которая герметично прикручивается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воронке (на теплое время года)</w:t>
            </w:r>
          </w:p>
        </w:tc>
        <w:tc>
          <w:tcPr>
            <w:tcW w:w="1787" w:type="dxa"/>
            <w:shd w:val="clear" w:color="auto" w:fill="auto"/>
          </w:tcPr>
          <w:p w14:paraId="10789BE6" w14:textId="1936FCFF" w:rsidR="0002352F" w:rsidRPr="00D02C31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Рекомендованный метод активный пробоотбор с применением </w:t>
            </w:r>
            <w:proofErr w:type="spellStart"/>
            <w:r w:rsidRPr="00D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импакции</w:t>
            </w:r>
            <w:proofErr w:type="spellEnd"/>
            <w:r w:rsidRPr="00D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фильтрование с применением пробоотборников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8A7D16" w14:textId="1544EE59" w:rsidR="0002352F" w:rsidRPr="00486E9D" w:rsidRDefault="0002352F" w:rsidP="00023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C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Каталитическое сжигание при 680°С - </w:t>
            </w:r>
            <w:proofErr w:type="spellStart"/>
            <w:r w:rsidRPr="005C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бездисперсионное</w:t>
            </w:r>
            <w:proofErr w:type="spellEnd"/>
            <w:r w:rsidRPr="005C7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ИК детектирование</w:t>
            </w:r>
          </w:p>
        </w:tc>
        <w:tc>
          <w:tcPr>
            <w:tcW w:w="2437" w:type="dxa"/>
          </w:tcPr>
          <w:p w14:paraId="0500CD1C" w14:textId="32BBD0A5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Диапазон измерения:</w:t>
            </w:r>
          </w:p>
          <w:p w14:paraId="2F17140E" w14:textId="5C6A0C1F" w:rsidR="0002352F" w:rsidRPr="005C7681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углерод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>: 50 мкг/л -30000 мг/л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DB36C8C" w14:textId="6B5FF852" w:rsidR="0002352F" w:rsidRPr="00267087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Неорганический углерод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 xml:space="preserve">: 4 мкг/л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 xml:space="preserve"> 30000 мг/л</w:t>
            </w:r>
            <w:r w:rsidRPr="00267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B1F13" w14:textId="77777777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Летучий органический углерод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>: 0 – 500 мг/л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(опционально)</w:t>
            </w:r>
          </w:p>
          <w:p w14:paraId="7FF259EF" w14:textId="77777777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 детектирования:</w:t>
            </w:r>
          </w:p>
          <w:p w14:paraId="4EBFA231" w14:textId="37E23721" w:rsidR="0002352F" w:rsidRPr="005C7681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углерод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 xml:space="preserve">: 50 мкг/л  </w:t>
            </w:r>
          </w:p>
          <w:p w14:paraId="2F504F40" w14:textId="5FCBE1B2" w:rsidR="0002352F" w:rsidRPr="000E756B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Неорганический углерод</w:t>
            </w:r>
            <w:r w:rsidRPr="005C7681">
              <w:rPr>
                <w:rFonts w:ascii="Times New Roman" w:hAnsi="Times New Roman" w:cs="Times New Roman"/>
                <w:sz w:val="24"/>
                <w:szCs w:val="24"/>
              </w:rPr>
              <w:t>: 4 мкг/л</w:t>
            </w:r>
          </w:p>
        </w:tc>
        <w:tc>
          <w:tcPr>
            <w:tcW w:w="2214" w:type="dxa"/>
          </w:tcPr>
          <w:p w14:paraId="64906E3D" w14:textId="77777777" w:rsidR="0002352F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Анализатор углерода любого типа, снабженный высокотемпературным окислительным реактором, обеспечивающим окисление соединений </w:t>
            </w:r>
            <w:r w:rsidRPr="00A53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углерода, находящихся в пробе воды, кислородом или кислородсодержащим газом в присутствии катализатора при температуре от 550 °С до 1000 °С; детектором инфракрасного излучения или пламенно-ионизационным; устройствами для автоматизированного окисления пробы воды и регистрации и обработки результатов испытаний.</w:t>
            </w:r>
          </w:p>
          <w:p w14:paraId="3572A186" w14:textId="518E9CF7" w:rsidR="0002352F" w:rsidRPr="00A53816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7E5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углерода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хуже </w:t>
            </w:r>
            <w:r w:rsidRPr="002877E5">
              <w:rPr>
                <w:rFonts w:ascii="Times New Roman" w:hAnsi="Times New Roman" w:cs="Times New Roman"/>
                <w:sz w:val="24"/>
                <w:szCs w:val="24"/>
              </w:rPr>
              <w:t xml:space="preserve">SHIMADZU TOC-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47" w:type="dxa"/>
            <w:shd w:val="clear" w:color="auto" w:fill="auto"/>
          </w:tcPr>
          <w:p w14:paraId="26D8E73E" w14:textId="5775D4C3" w:rsidR="0002352F" w:rsidRPr="00522D7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D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ГОСТ 31958-2012 "Вода. Методы определения содержания общего и растворенного органического углерода"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2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14:paraId="17ED97AD" w14:textId="011F4945" w:rsidR="0002352F" w:rsidRPr="00522D7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52F" w:rsidRPr="005C59F2" w14:paraId="64379BC8" w14:textId="77777777" w:rsidTr="00C508E3">
        <w:trPr>
          <w:trHeight w:val="1660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02FA216" w14:textId="77777777" w:rsidR="0002352F" w:rsidRPr="003435A1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Диоксид азота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C4D3357" w14:textId="77777777" w:rsidR="0002352F" w:rsidRPr="003435A1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1час</w:t>
            </w:r>
          </w:p>
        </w:tc>
        <w:tc>
          <w:tcPr>
            <w:tcW w:w="3175" w:type="dxa"/>
            <w:shd w:val="clear" w:color="auto" w:fill="auto"/>
          </w:tcPr>
          <w:p w14:paraId="08B74A87" w14:textId="6F573661" w:rsidR="0002352F" w:rsidRPr="0029762E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Пробоотборный</w:t>
            </w:r>
            <w:proofErr w:type="spellEnd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зонд, при необходимости,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аэрозольным фильтром</w:t>
            </w:r>
          </w:p>
        </w:tc>
        <w:tc>
          <w:tcPr>
            <w:tcW w:w="1787" w:type="dxa"/>
            <w:shd w:val="clear" w:color="auto" w:fill="auto"/>
          </w:tcPr>
          <w:p w14:paraId="3EA4321A" w14:textId="5F43A1C0" w:rsidR="0002352F" w:rsidRPr="0029762E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хемолюминисценци</w:t>
            </w:r>
            <w:proofErr w:type="spellEnd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  <w:p w14:paraId="63E3E985" w14:textId="77777777" w:rsidR="0002352F" w:rsidRPr="0029762E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0236C94D" w14:textId="789BBFD7" w:rsidR="0002352F" w:rsidRPr="009B34B6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NO2 (10 </w:t>
            </w:r>
            <w:proofErr w:type="gramStart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ppb(</w:t>
            </w:r>
            <w:proofErr w:type="gramEnd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ISO) to 261 ppb (EN)</w:t>
            </w:r>
            <w:r w:rsidRPr="009B34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0AD53CE8" w14:textId="0A1B9548" w:rsidR="0002352F" w:rsidRPr="0029762E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 отклика – до 180 секунд (ЕС)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6B7CB0A" w14:textId="5F3A91E5" w:rsidR="0002352F" w:rsidRPr="009B34B6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Конверсия</w:t>
            </w:r>
            <w:proofErr w:type="spellEnd"/>
            <w:r w:rsidRPr="002976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96%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14" w:type="dxa"/>
          </w:tcPr>
          <w:p w14:paraId="2FEA3F6E" w14:textId="751C50B1" w:rsidR="0002352F" w:rsidRPr="006C3B93" w:rsidRDefault="0002352F" w:rsidP="0002352F">
            <w:pPr>
              <w:pStyle w:val="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BC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Хемилюминесцентный газоанализатор NO и NO2 в атмосферном воздухе (Р-310А)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A0587EB" w14:textId="7BA1A726" w:rsidR="0002352F" w:rsidRPr="00516BC1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B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ПЗ ВЗ ПРОБА-5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</w:p>
          <w:p w14:paraId="5EA1F582" w14:textId="37B5EF98" w:rsidR="0002352F" w:rsidRPr="00516BC1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B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ПЗ ВЗ ПРОБА-6</w:t>
            </w:r>
          </w:p>
          <w:p w14:paraId="0F90A745" w14:textId="67ECEB85" w:rsidR="0002352F" w:rsidRPr="00516BC1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B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Зонд 5(6)-канальный для отбора газовых проб из атмосферного воздуха</w:t>
            </w:r>
          </w:p>
        </w:tc>
        <w:tc>
          <w:tcPr>
            <w:tcW w:w="2147" w:type="dxa"/>
            <w:shd w:val="clear" w:color="auto" w:fill="auto"/>
          </w:tcPr>
          <w:p w14:paraId="56FFD61F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 14211:2012</w:t>
            </w:r>
          </w:p>
          <w:p w14:paraId="2FC636CF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Ambient air - Standard method for the measurement of the concentration of nitrogen dioxide and nitrogen monoxide by chemiluminescence</w:t>
            </w:r>
          </w:p>
          <w:p w14:paraId="62316AFB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ISO 7996:1985</w:t>
            </w:r>
          </w:p>
          <w:p w14:paraId="1CE1F97A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Ambient air</w:t>
            </w:r>
          </w:p>
          <w:p w14:paraId="242C6C14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Determination of the mass concentration of nitrogen oxides</w:t>
            </w:r>
          </w:p>
          <w:p w14:paraId="573AFBED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Chemiluminescence method</w:t>
            </w:r>
          </w:p>
          <w:p w14:paraId="0CDFA9F0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ACTRIS measurement guidelines on </w:t>
            </w:r>
            <w:proofErr w:type="spellStart"/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Nox</w:t>
            </w:r>
            <w:proofErr w:type="spellEnd"/>
          </w:p>
          <w:p w14:paraId="60EC4C4A" w14:textId="7B8712CF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WMO/GAW Expert Workshop on Global Long-term Measurements of Nitrogen Oxides and Recommendations for GAW Nitrogen Oxides Network</w:t>
            </w:r>
          </w:p>
        </w:tc>
      </w:tr>
      <w:tr w:rsidR="0002352F" w:rsidRPr="008D4FAB" w14:paraId="433D2CBC" w14:textId="77777777" w:rsidTr="00C508E3">
        <w:trPr>
          <w:trHeight w:val="300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47C12149" w14:textId="77777777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eastAsia="Times New Roman" w:hAnsi="Times New Roman" w:cs="Times New Roman"/>
                <w:sz w:val="24"/>
                <w:szCs w:val="24"/>
              </w:rPr>
              <w:t>Озон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04D4F072" w14:textId="77777777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eastAsia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175" w:type="dxa"/>
            <w:shd w:val="clear" w:color="auto" w:fill="auto"/>
          </w:tcPr>
          <w:p w14:paraId="7818E8DA" w14:textId="7DF6DBA3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Пробоотборный</w:t>
            </w:r>
            <w:proofErr w:type="spellEnd"/>
            <w:r w:rsidRPr="005C5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зонд, при необходимости, с аэрозольным фильтром</w:t>
            </w:r>
          </w:p>
        </w:tc>
        <w:tc>
          <w:tcPr>
            <w:tcW w:w="1787" w:type="dxa"/>
            <w:shd w:val="clear" w:color="auto" w:fill="auto"/>
          </w:tcPr>
          <w:p w14:paraId="6EA9F02C" w14:textId="0E2C4253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 абсорбция (автоматические </w:t>
            </w:r>
            <w:r w:rsidRPr="00AE2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газоанализаторы)</w:t>
            </w:r>
          </w:p>
        </w:tc>
        <w:tc>
          <w:tcPr>
            <w:tcW w:w="2437" w:type="dxa"/>
          </w:tcPr>
          <w:p w14:paraId="576D66E8" w14:textId="79726C5C" w:rsid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AE2D98">
              <w:rPr>
                <w:rFonts w:ascii="Times New Roman" w:hAnsi="Times New Roman" w:cs="Times New Roman"/>
                <w:sz w:val="24"/>
                <w:szCs w:val="24"/>
              </w:rPr>
              <w:t xml:space="preserve">иапазон концентраций от 2 мкг/м3 до 2 мг/м3; </w:t>
            </w:r>
          </w:p>
          <w:p w14:paraId="5A847454" w14:textId="12EE34D4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hAnsi="Times New Roman" w:cs="Times New Roman"/>
                <w:sz w:val="24"/>
                <w:szCs w:val="24"/>
              </w:rPr>
              <w:t xml:space="preserve">1-1000 </w:t>
            </w:r>
            <w:r w:rsidRPr="00AE2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ppb</w:t>
            </w:r>
            <w:r w:rsidRPr="00AE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340E0" w14:textId="266FA19E" w:rsidR="0002352F" w:rsidRPr="002C52B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запаздывания – до 20 сек</w:t>
            </w:r>
          </w:p>
        </w:tc>
        <w:tc>
          <w:tcPr>
            <w:tcW w:w="2214" w:type="dxa"/>
          </w:tcPr>
          <w:p w14:paraId="2C162853" w14:textId="368A5C0A" w:rsidR="0002352F" w:rsidRDefault="0002352F" w:rsidP="00023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Оптический газоанализатор озона в атмосферном </w:t>
            </w:r>
            <w:r w:rsidRPr="00E0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 (Ф-105)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  <w:r w:rsidRPr="006C3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3B93">
              <w:rPr>
                <w:rFonts w:ascii="Times New Roman" w:hAnsi="Times New Roman" w:cs="Times New Roman"/>
                <w:sz w:val="24"/>
                <w:szCs w:val="24"/>
              </w:rPr>
              <w:t>азоанализатор озона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B93">
              <w:rPr>
                <w:rFonts w:ascii="Times New Roman" w:hAnsi="Times New Roman" w:cs="Times New Roman"/>
                <w:sz w:val="24"/>
                <w:szCs w:val="24"/>
              </w:rPr>
              <w:t>APOA-370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0944AB" w14:textId="452F5E6C" w:rsidR="0002352F" w:rsidRPr="006C3B93" w:rsidRDefault="0002352F" w:rsidP="0002352F">
            <w:pPr>
              <w:pStyle w:val="1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eastAsia="ko-KR"/>
              </w:rPr>
            </w:pPr>
            <w:r w:rsidRPr="006C3B93"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eastAsia="ko-KR"/>
              </w:rPr>
              <w:t>Анализатор озона AQMS-300</w:t>
            </w:r>
          </w:p>
        </w:tc>
        <w:tc>
          <w:tcPr>
            <w:tcW w:w="2147" w:type="dxa"/>
            <w:shd w:val="clear" w:color="auto" w:fill="auto"/>
          </w:tcPr>
          <w:p w14:paraId="0CC38E3E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Guidelines for Continuous Measurements of Ozone in the Troposphere</w:t>
            </w:r>
          </w:p>
          <w:p w14:paraId="45349E57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 14625:2012 Ambient air - Standard method for the measurement of the concentration of ozone by ultraviolet photometry</w:t>
            </w:r>
          </w:p>
          <w:p w14:paraId="0EAB43D4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Ozone National Ambient Air Quality Standards (NAAQS) (Review of the Ozone National Ambient Air Quality Standards, [EPA–HQ–OAR–2018–0279; FRL–10019–04– OAR</w:t>
            </w:r>
            <w:proofErr w:type="gramStart"/>
            <w:r w:rsidRPr="00D5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)</w:t>
            </w:r>
            <w:proofErr w:type="gramEnd"/>
          </w:p>
          <w:p w14:paraId="5B55D5C9" w14:textId="77777777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13964:1998 Air quality Determination of ozone in ambient air Ultraviolet photometric method</w:t>
            </w:r>
          </w:p>
          <w:p w14:paraId="086FC74B" w14:textId="06F75B96" w:rsidR="0002352F" w:rsidRPr="00D50B5C" w:rsidRDefault="0002352F" w:rsidP="0002352F">
            <w:pPr>
              <w:spacing w:after="0" w:line="240" w:lineRule="exact"/>
              <w:ind w:left="-5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5C">
              <w:rPr>
                <w:rFonts w:ascii="Times New Roman" w:hAnsi="Times New Roman" w:cs="Times New Roman"/>
                <w:sz w:val="24"/>
                <w:szCs w:val="24"/>
              </w:rPr>
              <w:t>ГОСТ Р 8.924-2016</w:t>
            </w:r>
            <w:r w:rsidRPr="00D50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50B5C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измерений. Газоанализаторы озона. Методика поверки.</w:t>
            </w:r>
          </w:p>
        </w:tc>
      </w:tr>
      <w:tr w:rsidR="0002352F" w:rsidRPr="001505E2" w14:paraId="252BDB7D" w14:textId="77777777" w:rsidTr="00C508E3">
        <w:trPr>
          <w:trHeight w:val="300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CEA13BF" w14:textId="209FBB2F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Массовая концентрация частиц PM2.5, PM10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4EE445A9" w14:textId="77777777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eastAsia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3175" w:type="dxa"/>
            <w:shd w:val="clear" w:color="auto" w:fill="auto"/>
          </w:tcPr>
          <w:p w14:paraId="26513DF0" w14:textId="77777777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D98">
              <w:rPr>
                <w:rFonts w:ascii="Times New Roman" w:hAnsi="Times New Roman" w:cs="Times New Roman"/>
                <w:sz w:val="24"/>
              </w:rPr>
              <w:t>Выбор типа фильтра зависит от используемого прибора и от того, какие анализы будут выполняться в дальнейшем.</w:t>
            </w:r>
          </w:p>
          <w:p w14:paraId="1CA511F7" w14:textId="5C96D1C9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рекомендованы фильтры стекловолоконные</w:t>
            </w:r>
          </w:p>
        </w:tc>
        <w:tc>
          <w:tcPr>
            <w:tcW w:w="1787" w:type="dxa"/>
            <w:shd w:val="clear" w:color="auto" w:fill="auto"/>
          </w:tcPr>
          <w:p w14:paraId="03AEE436" w14:textId="6A4046A4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Гравиметрический метод (аналитические весы с точностью д о 0,1 мг).</w:t>
            </w:r>
          </w:p>
        </w:tc>
        <w:tc>
          <w:tcPr>
            <w:tcW w:w="2437" w:type="dxa"/>
          </w:tcPr>
          <w:p w14:paraId="31D9DED2" w14:textId="3DC4E54C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hAnsi="Times New Roman" w:cs="Times New Roman"/>
                <w:sz w:val="24"/>
                <w:szCs w:val="24"/>
              </w:rPr>
              <w:t>Диапазон от 1 мкг/м3 (т.е. предел обнаружения стандартного метода измерения, выраженный как его неопределенность) до 150 мкг/м3 для PM10 и 120 мкг/м3 для PM 2,5 (при скорости покачивания 2,3 м3/час и времени экспозиции 24 часа).</w:t>
            </w:r>
          </w:p>
        </w:tc>
        <w:tc>
          <w:tcPr>
            <w:tcW w:w="2214" w:type="dxa"/>
          </w:tcPr>
          <w:p w14:paraId="742C1897" w14:textId="23B81215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весы специальной или высокой точности с погрешностью измерений 0,15 мг, с ценой деления не менее 1 мг.</w:t>
            </w:r>
          </w:p>
        </w:tc>
        <w:tc>
          <w:tcPr>
            <w:tcW w:w="2147" w:type="dxa"/>
            <w:shd w:val="clear" w:color="auto" w:fill="auto"/>
          </w:tcPr>
          <w:p w14:paraId="323D4E83" w14:textId="77777777" w:rsidR="0002352F" w:rsidRP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EMEP Manual for Sampling and Chemical Analysis. </w:t>
            </w:r>
          </w:p>
          <w:p w14:paraId="74F9C763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785419CB" w14:textId="4BC501B2" w:rsidR="0002352F" w:rsidRPr="003C335D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335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</w:t>
            </w:r>
            <w:r w:rsidRPr="003C33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12341:2023 [12]</w:t>
            </w:r>
          </w:p>
          <w:p w14:paraId="2A48B905" w14:textId="06B9074B" w:rsidR="0002352F" w:rsidRPr="003C335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Р 59667— 2021 [13]</w:t>
            </w:r>
          </w:p>
          <w:p w14:paraId="346842E3" w14:textId="77777777" w:rsidR="0002352F" w:rsidRPr="003C335D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РД 52.04.830-2015</w:t>
            </w:r>
          </w:p>
          <w:p w14:paraId="70A6E5FD" w14:textId="1DDD57FF" w:rsidR="0002352F" w:rsidRPr="003029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</w:rPr>
              <w:t>[14]</w:t>
            </w:r>
          </w:p>
          <w:p w14:paraId="0DEA45E5" w14:textId="77777777" w:rsidR="0002352F" w:rsidRPr="003029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596EC" w14:textId="4DD20A84" w:rsidR="0002352F" w:rsidRPr="003029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52F" w:rsidRPr="001505E2" w14:paraId="78B13A3C" w14:textId="77777777" w:rsidTr="00C508E3">
        <w:trPr>
          <w:trHeight w:val="300"/>
        </w:trPr>
        <w:tc>
          <w:tcPr>
            <w:tcW w:w="2147" w:type="dxa"/>
            <w:shd w:val="clear" w:color="auto" w:fill="auto"/>
            <w:noWrap/>
            <w:vAlign w:val="center"/>
            <w:hideMark/>
          </w:tcPr>
          <w:p w14:paraId="1E9018A3" w14:textId="5E657E8C" w:rsidR="0002352F" w:rsidRPr="001A27C0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 металлы в атмосф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>рных осадках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Pb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(1й приоритет), 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(2й приоритет)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46E22612" w14:textId="1C57399C" w:rsidR="0002352F" w:rsidRPr="001A27C0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7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175" w:type="dxa"/>
            <w:shd w:val="clear" w:color="auto" w:fill="auto"/>
          </w:tcPr>
          <w:p w14:paraId="110201C2" w14:textId="43D651F0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</w:t>
            </w:r>
            <w:r w:rsidRPr="004C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автоматический </w:t>
            </w:r>
            <w:proofErr w:type="spellStart"/>
            <w:r w:rsidRPr="004C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осадкосборник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C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должен содержать металлических элементов во избежание загрязнения проб.</w:t>
            </w:r>
          </w:p>
          <w:p w14:paraId="150A3A8F" w14:textId="7D6A918E" w:rsidR="0002352F" w:rsidRPr="00DE5597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Допускается использование пластиковых емкостей с открытой горизонтальной частью из полиэтилена высокого давления (или иного типа пластика,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загрязняющего пробу) белого или прозрачного цвета. Либо конструкция, состоящая из пробоотборной воронки и пробоотборной емкости, которая герметично прикручивается к воронке (на теплое время года)</w:t>
            </w:r>
          </w:p>
        </w:tc>
        <w:tc>
          <w:tcPr>
            <w:tcW w:w="1787" w:type="dxa"/>
            <w:shd w:val="clear" w:color="auto" w:fill="auto"/>
          </w:tcPr>
          <w:p w14:paraId="6184E957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Масс-спектрометрия с индуктивно связанной плазмой (ИСП-МС) или ААС с электротермической атомизацией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FFAA8D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Консервация азотной кислотой.</w:t>
            </w:r>
          </w:p>
          <w:p w14:paraId="44753393" w14:textId="09A55672" w:rsidR="0002352F" w:rsidRPr="00AA7735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химических модификаторов во время анализа.</w:t>
            </w:r>
          </w:p>
        </w:tc>
        <w:tc>
          <w:tcPr>
            <w:tcW w:w="2437" w:type="dxa"/>
          </w:tcPr>
          <w:p w14:paraId="7FB1C3A9" w14:textId="78FF9192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Диапазоны измерений: </w:t>
            </w:r>
          </w:p>
          <w:p w14:paraId="68F3D5FF" w14:textId="2D56EC5C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Свинец от 0,5 до 20,0 мкг/л;</w:t>
            </w:r>
          </w:p>
          <w:p w14:paraId="6B1ED071" w14:textId="21570223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Кадмий от 0,02 до 2,0 мкг/л;</w:t>
            </w:r>
          </w:p>
          <w:p w14:paraId="3D0F1BAA" w14:textId="770C99D0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ab/>
              <w:t>от 0,5 до 20,0 мкг/л;</w:t>
            </w:r>
          </w:p>
          <w:p w14:paraId="377793C1" w14:textId="0BB75817" w:rsidR="0002352F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t>Никель от 1,0 до 20,0 мкг/л;</w:t>
            </w:r>
          </w:p>
          <w:p w14:paraId="2C963E88" w14:textId="38E16C91" w:rsidR="0002352F" w:rsidRPr="00D37B5B" w:rsidRDefault="0002352F" w:rsidP="0002352F">
            <w:pPr>
              <w:pStyle w:val="a3"/>
              <w:numPr>
                <w:ilvl w:val="0"/>
                <w:numId w:val="13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Цинк от 5,0 до 50,0 мкг/л.</w:t>
            </w:r>
          </w:p>
          <w:p w14:paraId="29F44233" w14:textId="089A442E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6843E9" w14:textId="77777777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Кортек</w:t>
            </w:r>
            <w:proofErr w:type="spellEnd"/>
            <w:r w:rsidRPr="00AE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ААС Квант</w:t>
            </w:r>
          </w:p>
          <w:p w14:paraId="2F0205AE" w14:textId="77777777" w:rsidR="0002352F" w:rsidRPr="00AE2D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Люмекс</w:t>
            </w:r>
            <w:proofErr w:type="spellEnd"/>
            <w:r w:rsidRPr="00AE2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ААС «МГА-1000»</w:t>
            </w:r>
          </w:p>
          <w:p w14:paraId="6BBC3786" w14:textId="28893711" w:rsidR="0002352F" w:rsidRPr="00AE2D98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98">
              <w:rPr>
                <w:rFonts w:ascii="Times New Roman" w:hAnsi="Times New Roman" w:cs="Times New Roman"/>
                <w:sz w:val="24"/>
                <w:szCs w:val="24"/>
              </w:rPr>
              <w:t>или аналоги</w:t>
            </w:r>
          </w:p>
        </w:tc>
        <w:tc>
          <w:tcPr>
            <w:tcW w:w="2147" w:type="dxa"/>
            <w:shd w:val="clear" w:color="auto" w:fill="auto"/>
          </w:tcPr>
          <w:p w14:paraId="2D630BF7" w14:textId="77777777" w:rsidR="0002352F" w:rsidRPr="0002352F" w:rsidRDefault="0002352F" w:rsidP="0002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EMEP Manual for Sampling and Chemical Analysis. </w:t>
            </w:r>
          </w:p>
          <w:p w14:paraId="4BCEC4E4" w14:textId="77777777" w:rsidR="0002352F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Руководство ЕМЕП по отбору проб и химическому </w:t>
            </w:r>
            <w:proofErr w:type="gramStart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анализу.-</w:t>
            </w:r>
            <w:proofErr w:type="gramEnd"/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перевод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  <w:p w14:paraId="5F486E02" w14:textId="42DF0656" w:rsidR="0002352F" w:rsidRPr="00302998" w:rsidRDefault="0002352F" w:rsidP="0002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 52.44.594-2016 [15]</w:t>
            </w:r>
          </w:p>
        </w:tc>
      </w:tr>
    </w:tbl>
    <w:p w14:paraId="3F29BF07" w14:textId="77777777" w:rsidR="00412206" w:rsidRDefault="00412206" w:rsidP="00412206">
      <w:pPr>
        <w:rPr>
          <w:rFonts w:ascii="Times New Roman" w:hAnsi="Times New Roman" w:cs="Times New Roman"/>
          <w:sz w:val="20"/>
          <w:szCs w:val="24"/>
        </w:rPr>
      </w:pPr>
    </w:p>
    <w:p w14:paraId="3F9244D0" w14:textId="77777777" w:rsidR="00412206" w:rsidRPr="00C12425" w:rsidRDefault="00412206" w:rsidP="00412206">
      <w:pPr>
        <w:rPr>
          <w:rFonts w:ascii="Times New Roman" w:hAnsi="Times New Roman" w:cs="Times New Roman"/>
          <w:sz w:val="20"/>
          <w:szCs w:val="24"/>
        </w:rPr>
      </w:pPr>
      <w:r w:rsidRPr="00C12425">
        <w:rPr>
          <w:rFonts w:ascii="Times New Roman" w:hAnsi="Times New Roman" w:cs="Times New Roman"/>
          <w:sz w:val="20"/>
          <w:szCs w:val="24"/>
        </w:rPr>
        <w:t xml:space="preserve">* является приоритетным </w:t>
      </w:r>
    </w:p>
    <w:p w14:paraId="76CE5833" w14:textId="77777777" w:rsidR="00C36FFC" w:rsidRDefault="00412206" w:rsidP="00412206">
      <w:pPr>
        <w:jc w:val="both"/>
      </w:pPr>
      <w:r w:rsidRPr="00C12425">
        <w:rPr>
          <w:rFonts w:ascii="Times New Roman" w:hAnsi="Times New Roman" w:cs="Times New Roman"/>
          <w:sz w:val="20"/>
          <w:szCs w:val="24"/>
        </w:rPr>
        <w:t>**</w:t>
      </w:r>
      <w:r w:rsidRPr="00C12425">
        <w:t xml:space="preserve"> Для указанных измерений предполагается </w:t>
      </w:r>
      <w:r w:rsidR="00302998" w:rsidRPr="00C12425">
        <w:t>использование оборудования,</w:t>
      </w:r>
      <w:r w:rsidRPr="00C12425">
        <w:t xml:space="preserve"> характеризующегося стандартными параметрами: объем воздуха, интенсивность пробоотбора и линейная скорость на фильтрах составляют 20 м</w:t>
      </w:r>
      <w:r w:rsidRPr="00C12425">
        <w:rPr>
          <w:vertAlign w:val="superscript"/>
        </w:rPr>
        <w:t>3</w:t>
      </w:r>
      <w:r w:rsidRPr="00C12425">
        <w:t xml:space="preserve">, 15 л/мин и 15 см/с, соответственно. Для проведения отбора рекомендован насос мембранного типа с подходящей производительностью, чтобы обеспечить расход в 15 л/мин при перепаде давления порядка 10-20 кПа (0.1 </w:t>
      </w:r>
      <w:proofErr w:type="spellStart"/>
      <w:r w:rsidRPr="00C12425">
        <w:t>атм</w:t>
      </w:r>
      <w:proofErr w:type="spellEnd"/>
      <w:r w:rsidRPr="00C12425">
        <w:t xml:space="preserve">), что является стандартным падением давления на двух последовательных фильтрах. Для измерения объема отобранного воздуха допускается использование газового счетчика «сухого» типа с фиксированным заполняемым объемом. Точность газовых счетчиков должна находиться в пределах </w:t>
      </w:r>
      <w:r w:rsidRPr="00C12425">
        <w:sym w:font="Symbol" w:char="F0B1"/>
      </w:r>
      <w:r w:rsidRPr="00C12425">
        <w:t xml:space="preserve"> 5%</w:t>
      </w:r>
    </w:p>
    <w:p w14:paraId="4754F69E" w14:textId="77777777" w:rsidR="00C36FFC" w:rsidRDefault="00C36FFC" w:rsidP="00412206">
      <w:pPr>
        <w:jc w:val="both"/>
      </w:pPr>
    </w:p>
    <w:p w14:paraId="6966AE29" w14:textId="651A91B7" w:rsidR="00412206" w:rsidRPr="0014231A" w:rsidRDefault="00412206" w:rsidP="00412206">
      <w:pPr>
        <w:jc w:val="both"/>
        <w:rPr>
          <w:rFonts w:ascii="Times New Roman" w:hAnsi="Times New Roman" w:cs="Times New Roman"/>
          <w:sz w:val="20"/>
          <w:szCs w:val="24"/>
        </w:rPr>
      </w:pPr>
      <w:r w:rsidRPr="00C12425">
        <w:t>.</w:t>
      </w:r>
      <w:r>
        <w:t xml:space="preserve">  </w:t>
      </w:r>
    </w:p>
    <w:p w14:paraId="2334497E" w14:textId="77777777" w:rsidR="00412206" w:rsidRDefault="00412206" w:rsidP="00412206">
      <w:pPr>
        <w:rPr>
          <w:rFonts w:ascii="Times New Roman" w:hAnsi="Times New Roman" w:cs="Times New Roman"/>
          <w:sz w:val="20"/>
          <w:szCs w:val="24"/>
        </w:rPr>
        <w:sectPr w:rsidR="00412206" w:rsidSect="00CC235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F41E26" w14:textId="77777777" w:rsidR="00412206" w:rsidRPr="00EE30E4" w:rsidRDefault="00412206" w:rsidP="002C52B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Расширенный (2-й) уровень программы мониторинга ЕМЕП</w:t>
      </w:r>
    </w:p>
    <w:p w14:paraId="5B355432" w14:textId="2D6386AC" w:rsidR="00412206" w:rsidRPr="00394C93" w:rsidRDefault="00412206" w:rsidP="00E456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>Вещества, предложенные для наблюдения на уровне 2, обеспечивают более полное описание физических</w:t>
      </w:r>
      <w:r w:rsidR="00E456AF">
        <w:rPr>
          <w:rFonts w:ascii="Times New Roman" w:hAnsi="Times New Roman" w:cs="Times New Roman"/>
          <w:sz w:val="24"/>
          <w:szCs w:val="24"/>
        </w:rPr>
        <w:t>/</w:t>
      </w:r>
      <w:r w:rsidRPr="00435799">
        <w:rPr>
          <w:rFonts w:ascii="Times New Roman" w:hAnsi="Times New Roman" w:cs="Times New Roman"/>
          <w:sz w:val="24"/>
          <w:szCs w:val="24"/>
        </w:rPr>
        <w:t>химических характеристик соответствующих компонентов, что необходимо для оценки загрязнения воздуха, включая перенос загрязнителей воздуха на большие расстояния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C93">
        <w:rPr>
          <w:rFonts w:ascii="Times New Roman" w:hAnsi="Times New Roman" w:cs="Times New Roman"/>
          <w:sz w:val="24"/>
          <w:szCs w:val="24"/>
        </w:rPr>
        <w:t xml:space="preserve"> В программу уровня 2 допускается включение веществ из списка программы для уровня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4C93">
        <w:rPr>
          <w:rFonts w:ascii="Times New Roman" w:hAnsi="Times New Roman" w:cs="Times New Roman"/>
          <w:sz w:val="24"/>
          <w:szCs w:val="24"/>
        </w:rPr>
        <w:t xml:space="preserve"> с учетом актуальности и необходимости для целей мониторинга в исследуемом регионе.</w:t>
      </w:r>
    </w:p>
    <w:p w14:paraId="27EBEB71" w14:textId="77777777" w:rsidR="00412206" w:rsidRPr="00435799" w:rsidRDefault="00412206" w:rsidP="002C52B8">
      <w:p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 xml:space="preserve">Измерения на уровне 2 следует проводить на станциях, на которых проводятся измерения уровня 1. Потенциальные дополнительные параметры включают в себя: </w:t>
      </w:r>
    </w:p>
    <w:p w14:paraId="20B40965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>более высокое временное разрешение;</w:t>
      </w:r>
    </w:p>
    <w:p w14:paraId="35D93C23" w14:textId="2CB1B981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 xml:space="preserve">достоверную информацию о распределении газа/частиц для 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полулетучих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 соединений; </w:t>
      </w:r>
    </w:p>
    <w:p w14:paraId="69E4D963" w14:textId="77777777" w:rsidR="00371732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>состав прекурсоров для образования фотохимических окислителей (оксиды азота (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) и летучие органические соединения (ЛОС)); </w:t>
      </w:r>
    </w:p>
    <w:p w14:paraId="0B74A088" w14:textId="77777777" w:rsidR="00371732" w:rsidRPr="00371732" w:rsidRDefault="00371732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газообразные, короткоживущие, климатически активные загрязняющие вещества;</w:t>
      </w:r>
    </w:p>
    <w:p w14:paraId="143F34A9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>физические и оптические характеристики аэрозолей (включая «черный углерод»);</w:t>
      </w:r>
    </w:p>
    <w:p w14:paraId="57D3F429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 xml:space="preserve">аэрозольная оптическая толщина; </w:t>
      </w:r>
    </w:p>
    <w:p w14:paraId="794AAEA5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 xml:space="preserve">более детальный химический состав частиц (элементарный и органический углерод в PM10, минеральная пыль); </w:t>
      </w:r>
    </w:p>
    <w:p w14:paraId="411AE368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 xml:space="preserve">индикаторы для определения происхождения воздушных масс и роли антропогенного и естественного воздействия, метана (CH4) и 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галогенуглеводородов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2E32D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>концентрации в воздухе кадмия (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>) и свинца (Pb) (с медью (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>), цинком (Zn), мышьяком (As), хромом (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) и никелем (Ni) в качестве вторичного вещества). приоритет) </w:t>
      </w:r>
    </w:p>
    <w:p w14:paraId="0121F963" w14:textId="77777777" w:rsidR="00412206" w:rsidRPr="00435799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>ртуть (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>) в осадках и воздухе (общая газообразная ртуть (TGM));</w:t>
      </w:r>
    </w:p>
    <w:p w14:paraId="0F68FBBF" w14:textId="77777777" w:rsidR="00412206" w:rsidRDefault="00412206" w:rsidP="002C5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99">
        <w:rPr>
          <w:rFonts w:ascii="Times New Roman" w:hAnsi="Times New Roman" w:cs="Times New Roman"/>
          <w:sz w:val="24"/>
          <w:szCs w:val="24"/>
        </w:rPr>
        <w:t xml:space="preserve">содержание стойких органических загрязнителей (СОЗ) в воздухе и в осадках (полициклические ароматические углеводороды (ПАУ), полихлорированные бифенилы (ПХД), 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гексахлорбензол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 (ГХБ), хлордан, 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гексахлорциклогексаны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) (ГХГ) 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дихлордифенилтрихлорэтан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5799">
        <w:rPr>
          <w:rFonts w:ascii="Times New Roman" w:hAnsi="Times New Roman" w:cs="Times New Roman"/>
          <w:sz w:val="24"/>
          <w:szCs w:val="24"/>
        </w:rPr>
        <w:t>дихлордифенилдихлорэтилен</w:t>
      </w:r>
      <w:proofErr w:type="spellEnd"/>
      <w:r w:rsidRPr="00435799">
        <w:rPr>
          <w:rFonts w:ascii="Times New Roman" w:hAnsi="Times New Roman" w:cs="Times New Roman"/>
          <w:sz w:val="24"/>
          <w:szCs w:val="24"/>
        </w:rPr>
        <w:t xml:space="preserve"> (ДДТ / ДДЭ). </w:t>
      </w:r>
    </w:p>
    <w:p w14:paraId="498E8B61" w14:textId="77777777" w:rsidR="00391F15" w:rsidRPr="000B3500" w:rsidRDefault="00391F15" w:rsidP="002C52B8">
      <w:pPr>
        <w:jc w:val="both"/>
        <w:rPr>
          <w:rFonts w:ascii="Times New Roman" w:hAnsi="Times New Roman" w:cs="Times New Roman"/>
          <w:sz w:val="24"/>
          <w:szCs w:val="24"/>
        </w:rPr>
      </w:pPr>
      <w:r w:rsidRPr="000B3500">
        <w:rPr>
          <w:rFonts w:ascii="Times New Roman" w:hAnsi="Times New Roman" w:cs="Times New Roman"/>
          <w:sz w:val="24"/>
          <w:szCs w:val="24"/>
        </w:rPr>
        <w:t>Список используемой литературы.</w:t>
      </w:r>
    </w:p>
    <w:p w14:paraId="04865CC9" w14:textId="15AA3ED3" w:rsidR="00796F00" w:rsidRPr="00796F00" w:rsidRDefault="00796F00" w:rsidP="002C52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4687366"/>
      <w:r w:rsidRPr="00796F00">
        <w:rPr>
          <w:rFonts w:ascii="Times New Roman" w:hAnsi="Times New Roman" w:cs="Times New Roman"/>
          <w:sz w:val="24"/>
          <w:szCs w:val="24"/>
          <w:lang w:val="en-US"/>
        </w:rPr>
        <w:t>EMEP</w:t>
      </w:r>
      <w:r w:rsidRPr="00796F00">
        <w:rPr>
          <w:rFonts w:ascii="Times New Roman" w:hAnsi="Times New Roman" w:cs="Times New Roman"/>
          <w:sz w:val="24"/>
          <w:szCs w:val="24"/>
        </w:rPr>
        <w:t xml:space="preserve"> </w:t>
      </w:r>
      <w:r w:rsidRPr="00796F00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Pr="00796F00">
        <w:rPr>
          <w:rFonts w:ascii="Times New Roman" w:hAnsi="Times New Roman" w:cs="Times New Roman"/>
          <w:sz w:val="24"/>
          <w:szCs w:val="24"/>
        </w:rPr>
        <w:t xml:space="preserve">. Пересмотренная стратегия ЕМЕП на 2010-2019 гг. // </w:t>
      </w:r>
      <w:proofErr w:type="spellStart"/>
      <w:r w:rsidRPr="00796F00">
        <w:rPr>
          <w:rFonts w:ascii="Times New Roman" w:hAnsi="Times New Roman" w:cs="Times New Roman"/>
          <w:sz w:val="24"/>
          <w:szCs w:val="24"/>
          <w:lang w:val="en-US"/>
        </w:rPr>
        <w:t>unece</w:t>
      </w:r>
      <w:proofErr w:type="spellEnd"/>
      <w:r w:rsidRPr="00796F00">
        <w:rPr>
          <w:rFonts w:ascii="Times New Roman" w:hAnsi="Times New Roman" w:cs="Times New Roman"/>
          <w:sz w:val="24"/>
          <w:szCs w:val="24"/>
        </w:rPr>
        <w:t>.</w:t>
      </w:r>
      <w:r w:rsidRPr="00796F0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796F00">
        <w:rPr>
          <w:rFonts w:ascii="Times New Roman" w:hAnsi="Times New Roman" w:cs="Times New Roman"/>
          <w:sz w:val="24"/>
          <w:szCs w:val="24"/>
        </w:rPr>
        <w:t xml:space="preserve"> </w:t>
      </w:r>
      <w:r w:rsidRPr="00796F0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96F00">
        <w:rPr>
          <w:rFonts w:ascii="Times New Roman" w:hAnsi="Times New Roman" w:cs="Times New Roman"/>
          <w:sz w:val="24"/>
          <w:szCs w:val="24"/>
        </w:rPr>
        <w:t xml:space="preserve">: </w:t>
      </w:r>
      <w:r w:rsidRPr="00796F0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96F0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796F00">
        <w:rPr>
          <w:rFonts w:ascii="Times New Roman" w:hAnsi="Times New Roman" w:cs="Times New Roman"/>
          <w:sz w:val="24"/>
          <w:szCs w:val="24"/>
          <w:lang w:val="en-US"/>
        </w:rPr>
        <w:t>unece</w:t>
      </w:r>
      <w:proofErr w:type="spellEnd"/>
      <w:r w:rsidRPr="00796F00">
        <w:rPr>
          <w:rFonts w:ascii="Times New Roman" w:hAnsi="Times New Roman" w:cs="Times New Roman"/>
          <w:sz w:val="24"/>
          <w:szCs w:val="24"/>
        </w:rPr>
        <w:t>.</w:t>
      </w:r>
      <w:r w:rsidRPr="00796F0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796F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F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6F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6F00">
        <w:rPr>
          <w:rFonts w:ascii="Times New Roman" w:hAnsi="Times New Roman" w:cs="Times New Roman"/>
          <w:sz w:val="24"/>
          <w:szCs w:val="24"/>
          <w:lang w:val="en-US"/>
        </w:rPr>
        <w:t>emep</w:t>
      </w:r>
      <w:proofErr w:type="spellEnd"/>
      <w:r w:rsidRPr="00796F00">
        <w:rPr>
          <w:rFonts w:ascii="Times New Roman" w:hAnsi="Times New Roman" w:cs="Times New Roman"/>
          <w:sz w:val="24"/>
          <w:szCs w:val="24"/>
        </w:rPr>
        <w:t>-</w:t>
      </w:r>
      <w:r w:rsidRPr="00796F00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Pr="00796F00">
        <w:rPr>
          <w:rFonts w:ascii="Times New Roman" w:hAnsi="Times New Roman" w:cs="Times New Roman"/>
          <w:sz w:val="24"/>
          <w:szCs w:val="24"/>
        </w:rPr>
        <w:t xml:space="preserve"> (дата обращения: 3.04.2025).</w:t>
      </w:r>
    </w:p>
    <w:p w14:paraId="382370B2" w14:textId="79A33071" w:rsidR="00391F15" w:rsidRPr="00391F15" w:rsidRDefault="00391F15" w:rsidP="002C52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1F15">
        <w:rPr>
          <w:rFonts w:ascii="Times New Roman" w:hAnsi="Times New Roman" w:cs="Times New Roman"/>
          <w:sz w:val="24"/>
          <w:szCs w:val="24"/>
          <w:lang w:val="en-US"/>
        </w:rPr>
        <w:t xml:space="preserve">EMEP Manual for Sampling and Chemical Analysis. 2001. EMEP/CCC Report 1/95, Revision 2001, Norwegian Institute for Air Research, </w:t>
      </w:r>
      <w:proofErr w:type="spellStart"/>
      <w:r w:rsidRPr="00391F15">
        <w:rPr>
          <w:rFonts w:ascii="Times New Roman" w:hAnsi="Times New Roman" w:cs="Times New Roman"/>
          <w:sz w:val="24"/>
          <w:szCs w:val="24"/>
          <w:lang w:val="en-US"/>
        </w:rPr>
        <w:t>Kjeller</w:t>
      </w:r>
      <w:proofErr w:type="spellEnd"/>
      <w:r w:rsidRPr="00391F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1F15">
        <w:rPr>
          <w:rFonts w:ascii="Times New Roman" w:hAnsi="Times New Roman" w:cs="Times New Roman"/>
          <w:sz w:val="24"/>
          <w:szCs w:val="24"/>
          <w:lang w:val="en-US"/>
        </w:rPr>
        <w:t>Lillestrom</w:t>
      </w:r>
      <w:proofErr w:type="spellEnd"/>
      <w:r w:rsidRPr="00391F15">
        <w:rPr>
          <w:rFonts w:ascii="Times New Roman" w:hAnsi="Times New Roman" w:cs="Times New Roman"/>
          <w:sz w:val="24"/>
          <w:szCs w:val="24"/>
          <w:lang w:val="en-US"/>
        </w:rPr>
        <w:t>, Norway.</w:t>
      </w:r>
      <w:bookmarkEnd w:id="2"/>
    </w:p>
    <w:p w14:paraId="689119A4" w14:textId="7C03EA0E" w:rsidR="00695E00" w:rsidRPr="00CD7F4D" w:rsidRDefault="00CD7F4D" w:rsidP="00CD7F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44689417"/>
      <w:bookmarkStart w:id="4" w:name="_Ref44690729"/>
      <w:r w:rsidRPr="00CD7F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ЕМЕП по отбору проб и химическому анализу // Совместная Программа мониторинга и оценки дальнего атмосферного переноса загрязняющих веществ в Европе URL: https://unece.org/fileadmin/DAM/ie/capact/ppp/pdfs/rws2/emep_man_r.pdf (дата обращения: 01.04.2025).</w:t>
      </w:r>
    </w:p>
    <w:bookmarkEnd w:id="3"/>
    <w:bookmarkEnd w:id="4"/>
    <w:p w14:paraId="43E9A256" w14:textId="2070534E" w:rsidR="00CD7F4D" w:rsidRDefault="00CD7F4D" w:rsidP="002C52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Standard Operating Procedures and Measurement Guidelines for ACTRIS in situ trace gases // </w:t>
      </w:r>
      <w:proofErr w:type="spellStart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ACTRiS</w:t>
      </w:r>
      <w:proofErr w:type="spellEnd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Ctntre</w:t>
      </w:r>
      <w:proofErr w:type="spellEnd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 atmospheric data portal URL: </w:t>
      </w:r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https://actris.nilu.no/Content/?pageid=68159644c2c04d648ce41536297f5b93 (</w:t>
      </w:r>
      <w:proofErr w:type="spellStart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дата</w:t>
      </w:r>
      <w:proofErr w:type="spellEnd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обращения</w:t>
      </w:r>
      <w:proofErr w:type="spellEnd"/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01.04.2025).</w:t>
      </w:r>
    </w:p>
    <w:p w14:paraId="3FFAFAEE" w14:textId="5533EBCB" w:rsidR="004E5F63" w:rsidRPr="00CD7F4D" w:rsidRDefault="00E42554" w:rsidP="002C52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0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Голобокова Л. П., Латышева И. В., Мордвинов В. И., </w:t>
      </w:r>
      <w:proofErr w:type="spellStart"/>
      <w:r w:rsidRPr="00F50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Ходжер</w:t>
      </w:r>
      <w:proofErr w:type="spellEnd"/>
      <w:r w:rsidRPr="00F50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В., </w:t>
      </w:r>
      <w:proofErr w:type="spellStart"/>
      <w:r w:rsidRPr="00F50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Оболкин</w:t>
      </w:r>
      <w:proofErr w:type="spellEnd"/>
      <w:r w:rsidRPr="00F50A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А., Потемкин В. Л. Особенности химического состава атмосферного аэрозоля на фоне экстремальных погодных условий на юге Сибири. // Оптика атмосферы и океана. </w:t>
      </w:r>
      <w:r w:rsidRPr="00CD7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2005. Т. 18. № 08. С. 688-693.</w:t>
      </w:r>
    </w:p>
    <w:p w14:paraId="78F6F2EE" w14:textId="6D508D7C" w:rsidR="002445EF" w:rsidRPr="002445EF" w:rsidRDefault="002445EF" w:rsidP="002445E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EF">
        <w:rPr>
          <w:rFonts w:ascii="Times New Roman" w:eastAsia="Times New Roman" w:hAnsi="Times New Roman" w:cs="Times New Roman"/>
          <w:sz w:val="24"/>
          <w:szCs w:val="24"/>
          <w:lang w:eastAsia="ru-RU"/>
        </w:rPr>
        <w:t>ISO 7980:1986 "Качество воды. Определение кальция и магния. Атомно-абсорбционный спектрометрический метод " от 01.05.1986 // Международная организация по стандартизации - ISO. - 1986 г. - № 1</w:t>
      </w:r>
    </w:p>
    <w:p w14:paraId="4288D77C" w14:textId="5FCA8FAE" w:rsidR="00F67119" w:rsidRPr="00B36201" w:rsidRDefault="002445EF" w:rsidP="00F6711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ISO</w:t>
      </w:r>
      <w:r w:rsidR="00F67119" w:rsidRPr="00B362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7890-86 "Качество воды. Определение содержания натрия и калия. Часть 3. Определение содержания натрия и калия спектрометрическим методом эмиссии в пламени" от 01.05.1993 // Международная организация по стандартизации - ISO. - 1993 г. - № 1</w:t>
      </w:r>
    </w:p>
    <w:p w14:paraId="4A70959F" w14:textId="4D37B64F" w:rsidR="001A6F19" w:rsidRPr="002445EF" w:rsidRDefault="001A6F19" w:rsidP="002C52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Барам Г.И., Верещагин А.Л., Голобокова Л.П. </w:t>
      </w:r>
      <w:proofErr w:type="spellStart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Микроколоночная</w:t>
      </w:r>
      <w:proofErr w:type="spellEnd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высокоэффективная жидкостная хроматография с УФ-</w:t>
      </w:r>
      <w:r w:rsidR="00B46DD9"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детектированием</w:t>
      </w: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определения анионов в объектах окружающей среды // </w:t>
      </w:r>
      <w:r w:rsidR="00B36201"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Журнал а</w:t>
      </w: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налитическ</w:t>
      </w:r>
      <w:r w:rsidR="00B36201"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хими</w:t>
      </w:r>
      <w:r w:rsidR="00B36201"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- 1999. - №Т.54 №9. - С. 962-965.</w:t>
      </w:r>
    </w:p>
    <w:p w14:paraId="1F86967B" w14:textId="2BC8A5EE" w:rsidR="00503878" w:rsidRPr="002445EF" w:rsidRDefault="00503878" w:rsidP="002C52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ПНД Ф 13.1:2:3.19-98 "Количественный химический анализ атмосферного воздуха и выбросов в атмосферу. Методика выполнения измерений массовых концентраций диоксида азота и азотной кислоты (суммарно), оксида азота, </w:t>
      </w:r>
      <w:proofErr w:type="spellStart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триоксида</w:t>
      </w:r>
      <w:proofErr w:type="spellEnd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серы и серной кислоты (суммарно), диоксида серы, хлороводорода, фтороводорода, ортофосфорной кислоты и аммиака в пробах промышленных выбросов, атмосферного воздуха и воздуха рабочей зоны методом ионной хроматографии" от 02.04.1998 // Государственный комитет РФ по охране окружающей </w:t>
      </w:r>
      <w:r w:rsidR="00B46DD9"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среды.</w:t>
      </w: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- 1998 г. - с изм. и </w:t>
      </w:r>
      <w:proofErr w:type="spellStart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</w:t>
      </w:r>
      <w:proofErr w:type="spellEnd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ред. от 2008.</w:t>
      </w:r>
    </w:p>
    <w:p w14:paraId="4D6D749D" w14:textId="4C6F1AC5" w:rsidR="00C12425" w:rsidRDefault="00503878" w:rsidP="005038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 Р ИСО 21438-1-2011 "Воздух рабочей зоны. Определение неорганических кислот методом ионной хроматографии. Часть 1. Нелетучие кислоты (серная и фосфорная)" от 01.12.2012 // </w:t>
      </w:r>
      <w:proofErr w:type="spellStart"/>
      <w:proofErr w:type="gramStart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Стандартинформ</w:t>
      </w:r>
      <w:proofErr w:type="spellEnd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4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2012</w:t>
      </w:r>
    </w:p>
    <w:p w14:paraId="75BAA3A9" w14:textId="259BCEFE" w:rsidR="0038018D" w:rsidRPr="00E90ADD" w:rsidRDefault="004531DB" w:rsidP="00E90AD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 Р ИСО 21438-2-2012 </w:t>
      </w:r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“Воздух рабочей зоны. Определение неорганических кислот методом ионной хроматографии. Часть 2. Летучие кислоты, кроме фтороводородной (</w:t>
      </w:r>
      <w:proofErr w:type="spellStart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хлороводородная</w:t>
      </w:r>
      <w:proofErr w:type="spellEnd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бромоводородная</w:t>
      </w:r>
      <w:proofErr w:type="spellEnd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азотная) от 01.12.2013 // </w:t>
      </w:r>
      <w:proofErr w:type="spellStart"/>
      <w:proofErr w:type="gramStart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Стандартинформ</w:t>
      </w:r>
      <w:proofErr w:type="spellEnd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E90ADD" w:rsidRP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201</w:t>
      </w:r>
      <w:r w:rsidR="00E90A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</w:p>
    <w:p w14:paraId="7ED7B068" w14:textId="4D15B31B" w:rsidR="008B34B9" w:rsidRDefault="008B34B9" w:rsidP="005038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B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BS EN 12341:2023 "Ambient air. Standard gravimetric measurement method for the determination of the PM10 or PM2,5 mass concentration of suspended particulate matter" </w:t>
      </w:r>
      <w:r w:rsidRPr="008B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8B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08.10.2023 // BSI Standards Publication</w:t>
      </w:r>
    </w:p>
    <w:p w14:paraId="597FECD0" w14:textId="5E56C2A1" w:rsidR="008B34B9" w:rsidRDefault="008B34B9" w:rsidP="005038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 Р 59667-2021 "Качество атмосферного воздуха. Методика определения фракционного состава пыли оптическим методом. Расчет концентраций взвешенных частиц РМ2.5, РМ10 в атмосферном воздухе на основе фракционного состава" от 01.01.2022 // Российский институт стандартизации. </w:t>
      </w:r>
      <w:r w:rsidR="00530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B3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</w:t>
      </w:r>
    </w:p>
    <w:p w14:paraId="51F93B33" w14:textId="1CC35ABC" w:rsidR="00530112" w:rsidRDefault="00B46DD9" w:rsidP="0050387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6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РД 52.04.830-2015 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B46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ассовая концентрация взвешенных частиц РМ10 и РМ2.5 в атмосферном воздухе. Методика измерений гравиметрическим методом" 03.01.2016 приказ Росгидромета N 736 от 04.12.2015 // Санкт-Петербург.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46D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</w:t>
      </w:r>
    </w:p>
    <w:p w14:paraId="60EDE9F5" w14:textId="322C6471" w:rsidR="004E5F63" w:rsidRDefault="004E5323" w:rsidP="004E53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РД 52.44.594-2016 "Массовая концентрация тяжелых металлов в атмосферных осадках и поверхностных водах. Методика измерений методом атомно-абсорбционной спектрометрии с беспламенной атомизацией"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4E5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Росгидромета от 25.10.2016 № 490 // Москва.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E5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2016</w:t>
      </w:r>
    </w:p>
    <w:p w14:paraId="535C7CCD" w14:textId="474354D7" w:rsidR="004E5323" w:rsidRDefault="00522D75" w:rsidP="004E53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 31958-2012 "Вода. Методы определения содержания общего и растворенного органического углерода" от 01.01.2014 // </w:t>
      </w:r>
      <w:proofErr w:type="spellStart"/>
      <w:r w:rsidRPr="0052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Стандартинформ</w:t>
      </w:r>
      <w:proofErr w:type="spellEnd"/>
      <w:r w:rsidRPr="0052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- 2013 г. - с изм. и </w:t>
      </w:r>
      <w:proofErr w:type="spellStart"/>
      <w:r w:rsidRPr="0052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</w:t>
      </w:r>
      <w:proofErr w:type="spellEnd"/>
      <w:r w:rsidRPr="00522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ред. от 25.10.2019.</w:t>
      </w:r>
    </w:p>
    <w:p w14:paraId="5D7BA899" w14:textId="77777777" w:rsidR="00695E00" w:rsidRPr="00695E00" w:rsidRDefault="00695E00" w:rsidP="00695E0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" "Об утверждении перечня измерений, относящихся к сфере государственного регулирования обеспечения единства </w:t>
      </w:r>
      <w:r w:rsidRPr="00695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измерений" (с изменениями и дополнениями) " от 16.11.2020 № 1847 2020 г. - с изм. и </w:t>
      </w:r>
      <w:proofErr w:type="spellStart"/>
      <w:r w:rsidRPr="00695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</w:t>
      </w:r>
      <w:proofErr w:type="spellEnd"/>
      <w:r w:rsidRPr="00695E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ред. от 24.09.2023.</w:t>
      </w:r>
    </w:p>
    <w:p w14:paraId="7D1A9DA9" w14:textId="77777777" w:rsidR="00522D75" w:rsidRPr="004E5323" w:rsidRDefault="00522D75" w:rsidP="00695E0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22D75" w:rsidRPr="004E5323" w:rsidSect="007A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DA1"/>
    <w:multiLevelType w:val="hybridMultilevel"/>
    <w:tmpl w:val="AE16F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141F2"/>
    <w:multiLevelType w:val="hybridMultilevel"/>
    <w:tmpl w:val="3BF82598"/>
    <w:lvl w:ilvl="0" w:tplc="9E22018E">
      <w:start w:val="1"/>
      <w:numFmt w:val="bullet"/>
      <w:lvlText w:val="В"/>
      <w:lvlJc w:val="left"/>
    </w:lvl>
    <w:lvl w:ilvl="1" w:tplc="0D7A672E">
      <w:start w:val="1"/>
      <w:numFmt w:val="bullet"/>
      <w:lvlText w:val="−"/>
      <w:lvlJc w:val="left"/>
    </w:lvl>
    <w:lvl w:ilvl="2" w:tplc="A9B40E8C">
      <w:numFmt w:val="decimal"/>
      <w:lvlText w:val=""/>
      <w:lvlJc w:val="left"/>
    </w:lvl>
    <w:lvl w:ilvl="3" w:tplc="60724876">
      <w:numFmt w:val="decimal"/>
      <w:lvlText w:val=""/>
      <w:lvlJc w:val="left"/>
    </w:lvl>
    <w:lvl w:ilvl="4" w:tplc="646AD2DE">
      <w:numFmt w:val="decimal"/>
      <w:lvlText w:val=""/>
      <w:lvlJc w:val="left"/>
    </w:lvl>
    <w:lvl w:ilvl="5" w:tplc="2DFEE7B0">
      <w:numFmt w:val="decimal"/>
      <w:lvlText w:val=""/>
      <w:lvlJc w:val="left"/>
    </w:lvl>
    <w:lvl w:ilvl="6" w:tplc="CC14A6AE">
      <w:numFmt w:val="decimal"/>
      <w:lvlText w:val=""/>
      <w:lvlJc w:val="left"/>
    </w:lvl>
    <w:lvl w:ilvl="7" w:tplc="EE525898">
      <w:numFmt w:val="decimal"/>
      <w:lvlText w:val=""/>
      <w:lvlJc w:val="left"/>
    </w:lvl>
    <w:lvl w:ilvl="8" w:tplc="4A4A66BE">
      <w:numFmt w:val="decimal"/>
      <w:lvlText w:val=""/>
      <w:lvlJc w:val="left"/>
    </w:lvl>
  </w:abstractNum>
  <w:abstractNum w:abstractNumId="2" w15:restartNumberingAfterBreak="0">
    <w:nsid w:val="36CF5248"/>
    <w:multiLevelType w:val="hybridMultilevel"/>
    <w:tmpl w:val="BCF82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1EFB"/>
    <w:multiLevelType w:val="hybridMultilevel"/>
    <w:tmpl w:val="17EAC9C2"/>
    <w:lvl w:ilvl="0" w:tplc="BB3A16FE">
      <w:start w:val="1"/>
      <w:numFmt w:val="bullet"/>
      <w:lvlText w:val="В"/>
      <w:lvlJc w:val="left"/>
    </w:lvl>
    <w:lvl w:ilvl="1" w:tplc="95B83C66">
      <w:numFmt w:val="decimal"/>
      <w:lvlText w:val=""/>
      <w:lvlJc w:val="left"/>
    </w:lvl>
    <w:lvl w:ilvl="2" w:tplc="80745C14">
      <w:numFmt w:val="decimal"/>
      <w:lvlText w:val=""/>
      <w:lvlJc w:val="left"/>
    </w:lvl>
    <w:lvl w:ilvl="3" w:tplc="F580C7A0">
      <w:numFmt w:val="decimal"/>
      <w:lvlText w:val=""/>
      <w:lvlJc w:val="left"/>
    </w:lvl>
    <w:lvl w:ilvl="4" w:tplc="FAE2708E">
      <w:numFmt w:val="decimal"/>
      <w:lvlText w:val=""/>
      <w:lvlJc w:val="left"/>
    </w:lvl>
    <w:lvl w:ilvl="5" w:tplc="663A5A16">
      <w:numFmt w:val="decimal"/>
      <w:lvlText w:val=""/>
      <w:lvlJc w:val="left"/>
    </w:lvl>
    <w:lvl w:ilvl="6" w:tplc="72964C80">
      <w:numFmt w:val="decimal"/>
      <w:lvlText w:val=""/>
      <w:lvlJc w:val="left"/>
    </w:lvl>
    <w:lvl w:ilvl="7" w:tplc="273CA898">
      <w:numFmt w:val="decimal"/>
      <w:lvlText w:val=""/>
      <w:lvlJc w:val="left"/>
    </w:lvl>
    <w:lvl w:ilvl="8" w:tplc="4AFE43BE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16C853DC"/>
    <w:lvl w:ilvl="0" w:tplc="7310A2A0">
      <w:start w:val="1"/>
      <w:numFmt w:val="bullet"/>
      <w:lvlText w:val="В"/>
      <w:lvlJc w:val="left"/>
    </w:lvl>
    <w:lvl w:ilvl="1" w:tplc="4BA200F8">
      <w:numFmt w:val="decimal"/>
      <w:lvlText w:val=""/>
      <w:lvlJc w:val="left"/>
    </w:lvl>
    <w:lvl w:ilvl="2" w:tplc="A56CD210">
      <w:numFmt w:val="decimal"/>
      <w:lvlText w:val=""/>
      <w:lvlJc w:val="left"/>
    </w:lvl>
    <w:lvl w:ilvl="3" w:tplc="521669BC">
      <w:numFmt w:val="decimal"/>
      <w:lvlText w:val=""/>
      <w:lvlJc w:val="left"/>
    </w:lvl>
    <w:lvl w:ilvl="4" w:tplc="D916B4FC">
      <w:numFmt w:val="decimal"/>
      <w:lvlText w:val=""/>
      <w:lvlJc w:val="left"/>
    </w:lvl>
    <w:lvl w:ilvl="5" w:tplc="D03AF5AE">
      <w:numFmt w:val="decimal"/>
      <w:lvlText w:val=""/>
      <w:lvlJc w:val="left"/>
    </w:lvl>
    <w:lvl w:ilvl="6" w:tplc="D5E685FE">
      <w:numFmt w:val="decimal"/>
      <w:lvlText w:val=""/>
      <w:lvlJc w:val="left"/>
    </w:lvl>
    <w:lvl w:ilvl="7" w:tplc="D64CC0BE">
      <w:numFmt w:val="decimal"/>
      <w:lvlText w:val=""/>
      <w:lvlJc w:val="left"/>
    </w:lvl>
    <w:lvl w:ilvl="8" w:tplc="D572F1F0">
      <w:numFmt w:val="decimal"/>
      <w:lvlText w:val=""/>
      <w:lvlJc w:val="left"/>
    </w:lvl>
  </w:abstractNum>
  <w:abstractNum w:abstractNumId="5" w15:restartNumberingAfterBreak="0">
    <w:nsid w:val="559E529B"/>
    <w:multiLevelType w:val="hybridMultilevel"/>
    <w:tmpl w:val="4320B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85C55"/>
    <w:multiLevelType w:val="hybridMultilevel"/>
    <w:tmpl w:val="65C2486C"/>
    <w:lvl w:ilvl="0" w:tplc="04190013">
      <w:start w:val="1"/>
      <w:numFmt w:val="upperRoman"/>
      <w:lvlText w:val="%1."/>
      <w:lvlJc w:val="righ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F284E0E"/>
    <w:multiLevelType w:val="hybridMultilevel"/>
    <w:tmpl w:val="4FBE824C"/>
    <w:lvl w:ilvl="0" w:tplc="7098D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14D"/>
    <w:multiLevelType w:val="hybridMultilevel"/>
    <w:tmpl w:val="C0FC34CE"/>
    <w:lvl w:ilvl="0" w:tplc="04190013">
      <w:start w:val="1"/>
      <w:numFmt w:val="upperRoman"/>
      <w:lvlText w:val="%1."/>
      <w:lvlJc w:val="righ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2E92F14"/>
    <w:multiLevelType w:val="hybridMultilevel"/>
    <w:tmpl w:val="AE16F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5E146"/>
    <w:multiLevelType w:val="hybridMultilevel"/>
    <w:tmpl w:val="FA84648C"/>
    <w:lvl w:ilvl="0" w:tplc="B9D0F146">
      <w:start w:val="1"/>
      <w:numFmt w:val="bullet"/>
      <w:lvlText w:val="В"/>
      <w:lvlJc w:val="left"/>
    </w:lvl>
    <w:lvl w:ilvl="1" w:tplc="B102121A">
      <w:numFmt w:val="decimal"/>
      <w:lvlText w:val=""/>
      <w:lvlJc w:val="left"/>
    </w:lvl>
    <w:lvl w:ilvl="2" w:tplc="EFC64104">
      <w:numFmt w:val="decimal"/>
      <w:lvlText w:val=""/>
      <w:lvlJc w:val="left"/>
    </w:lvl>
    <w:lvl w:ilvl="3" w:tplc="B22824B2">
      <w:numFmt w:val="decimal"/>
      <w:lvlText w:val=""/>
      <w:lvlJc w:val="left"/>
    </w:lvl>
    <w:lvl w:ilvl="4" w:tplc="3B628BCC">
      <w:numFmt w:val="decimal"/>
      <w:lvlText w:val=""/>
      <w:lvlJc w:val="left"/>
    </w:lvl>
    <w:lvl w:ilvl="5" w:tplc="B6F20B80">
      <w:numFmt w:val="decimal"/>
      <w:lvlText w:val=""/>
      <w:lvlJc w:val="left"/>
    </w:lvl>
    <w:lvl w:ilvl="6" w:tplc="69BCBC1A">
      <w:numFmt w:val="decimal"/>
      <w:lvlText w:val=""/>
      <w:lvlJc w:val="left"/>
    </w:lvl>
    <w:lvl w:ilvl="7" w:tplc="DC38D6E6">
      <w:numFmt w:val="decimal"/>
      <w:lvlText w:val=""/>
      <w:lvlJc w:val="left"/>
    </w:lvl>
    <w:lvl w:ilvl="8" w:tplc="E1B6886A">
      <w:numFmt w:val="decimal"/>
      <w:lvlText w:val=""/>
      <w:lvlJc w:val="left"/>
    </w:lvl>
  </w:abstractNum>
  <w:abstractNum w:abstractNumId="11" w15:restartNumberingAfterBreak="0">
    <w:nsid w:val="79E2A9E3"/>
    <w:multiLevelType w:val="hybridMultilevel"/>
    <w:tmpl w:val="1EC0F6BC"/>
    <w:lvl w:ilvl="0" w:tplc="2492701A">
      <w:start w:val="9"/>
      <w:numFmt w:val="upperLetter"/>
      <w:lvlText w:val="%1."/>
      <w:lvlJc w:val="left"/>
    </w:lvl>
    <w:lvl w:ilvl="1" w:tplc="F98E8998">
      <w:numFmt w:val="decimal"/>
      <w:lvlText w:val=""/>
      <w:lvlJc w:val="left"/>
    </w:lvl>
    <w:lvl w:ilvl="2" w:tplc="1EE47D06">
      <w:numFmt w:val="decimal"/>
      <w:lvlText w:val=""/>
      <w:lvlJc w:val="left"/>
    </w:lvl>
    <w:lvl w:ilvl="3" w:tplc="D7EE754E">
      <w:numFmt w:val="decimal"/>
      <w:lvlText w:val=""/>
      <w:lvlJc w:val="left"/>
    </w:lvl>
    <w:lvl w:ilvl="4" w:tplc="CCAC8D9C">
      <w:numFmt w:val="decimal"/>
      <w:lvlText w:val=""/>
      <w:lvlJc w:val="left"/>
    </w:lvl>
    <w:lvl w:ilvl="5" w:tplc="1F067416">
      <w:numFmt w:val="decimal"/>
      <w:lvlText w:val=""/>
      <w:lvlJc w:val="left"/>
    </w:lvl>
    <w:lvl w:ilvl="6" w:tplc="EB0010C8">
      <w:numFmt w:val="decimal"/>
      <w:lvlText w:val=""/>
      <w:lvlJc w:val="left"/>
    </w:lvl>
    <w:lvl w:ilvl="7" w:tplc="291804B2">
      <w:numFmt w:val="decimal"/>
      <w:lvlText w:val=""/>
      <w:lvlJc w:val="left"/>
    </w:lvl>
    <w:lvl w:ilvl="8" w:tplc="6058943A">
      <w:numFmt w:val="decimal"/>
      <w:lvlText w:val=""/>
      <w:lvlJc w:val="left"/>
    </w:lvl>
  </w:abstractNum>
  <w:abstractNum w:abstractNumId="12" w15:restartNumberingAfterBreak="0">
    <w:nsid w:val="7AEE5744"/>
    <w:multiLevelType w:val="hybridMultilevel"/>
    <w:tmpl w:val="761C8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06"/>
    <w:rsid w:val="0002352F"/>
    <w:rsid w:val="00056810"/>
    <w:rsid w:val="000615CA"/>
    <w:rsid w:val="000B0E0F"/>
    <w:rsid w:val="000E310F"/>
    <w:rsid w:val="000E756B"/>
    <w:rsid w:val="00114D5F"/>
    <w:rsid w:val="00135EFE"/>
    <w:rsid w:val="0014184A"/>
    <w:rsid w:val="001505E2"/>
    <w:rsid w:val="0018388C"/>
    <w:rsid w:val="00196857"/>
    <w:rsid w:val="001A62B5"/>
    <w:rsid w:val="001A6F19"/>
    <w:rsid w:val="001C418D"/>
    <w:rsid w:val="002445EF"/>
    <w:rsid w:val="00267087"/>
    <w:rsid w:val="002877E5"/>
    <w:rsid w:val="0029762E"/>
    <w:rsid w:val="002C4FF5"/>
    <w:rsid w:val="002C52B8"/>
    <w:rsid w:val="002D79FA"/>
    <w:rsid w:val="002F47C8"/>
    <w:rsid w:val="00302998"/>
    <w:rsid w:val="003411AD"/>
    <w:rsid w:val="003579DC"/>
    <w:rsid w:val="00371732"/>
    <w:rsid w:val="0038018D"/>
    <w:rsid w:val="00391F15"/>
    <w:rsid w:val="003B0016"/>
    <w:rsid w:val="003B5F15"/>
    <w:rsid w:val="003C335D"/>
    <w:rsid w:val="003D469C"/>
    <w:rsid w:val="00412206"/>
    <w:rsid w:val="00434854"/>
    <w:rsid w:val="00435191"/>
    <w:rsid w:val="004531DB"/>
    <w:rsid w:val="00486E9D"/>
    <w:rsid w:val="004940A0"/>
    <w:rsid w:val="004C5BBC"/>
    <w:rsid w:val="004C5BDD"/>
    <w:rsid w:val="004E5323"/>
    <w:rsid w:val="004E5F63"/>
    <w:rsid w:val="004F0732"/>
    <w:rsid w:val="00503878"/>
    <w:rsid w:val="00514759"/>
    <w:rsid w:val="00516BC1"/>
    <w:rsid w:val="00522D75"/>
    <w:rsid w:val="00530112"/>
    <w:rsid w:val="005451C6"/>
    <w:rsid w:val="005463AB"/>
    <w:rsid w:val="00560F55"/>
    <w:rsid w:val="00570F92"/>
    <w:rsid w:val="0057326F"/>
    <w:rsid w:val="00577C4D"/>
    <w:rsid w:val="00593961"/>
    <w:rsid w:val="005A4DCC"/>
    <w:rsid w:val="005C59F2"/>
    <w:rsid w:val="005C7681"/>
    <w:rsid w:val="00602939"/>
    <w:rsid w:val="00614EB5"/>
    <w:rsid w:val="006568E3"/>
    <w:rsid w:val="006602BB"/>
    <w:rsid w:val="00695E00"/>
    <w:rsid w:val="006B150E"/>
    <w:rsid w:val="006C3B93"/>
    <w:rsid w:val="006E2C87"/>
    <w:rsid w:val="007261F2"/>
    <w:rsid w:val="00737352"/>
    <w:rsid w:val="0074731B"/>
    <w:rsid w:val="00751A0A"/>
    <w:rsid w:val="00760EAD"/>
    <w:rsid w:val="00776D4C"/>
    <w:rsid w:val="0079102B"/>
    <w:rsid w:val="00796F00"/>
    <w:rsid w:val="007A4A06"/>
    <w:rsid w:val="007B0836"/>
    <w:rsid w:val="007D1AAB"/>
    <w:rsid w:val="007F6B3C"/>
    <w:rsid w:val="00821BD2"/>
    <w:rsid w:val="00860004"/>
    <w:rsid w:val="008B34B9"/>
    <w:rsid w:val="008D2B5A"/>
    <w:rsid w:val="008D4FAB"/>
    <w:rsid w:val="008E50E5"/>
    <w:rsid w:val="00937B44"/>
    <w:rsid w:val="009424F2"/>
    <w:rsid w:val="009533B7"/>
    <w:rsid w:val="009542D0"/>
    <w:rsid w:val="00955D17"/>
    <w:rsid w:val="0097036E"/>
    <w:rsid w:val="009829A6"/>
    <w:rsid w:val="009B34B6"/>
    <w:rsid w:val="00A03F76"/>
    <w:rsid w:val="00A105E1"/>
    <w:rsid w:val="00A228B9"/>
    <w:rsid w:val="00A53816"/>
    <w:rsid w:val="00A64B36"/>
    <w:rsid w:val="00AA7735"/>
    <w:rsid w:val="00AB14DA"/>
    <w:rsid w:val="00AC249B"/>
    <w:rsid w:val="00AE2D98"/>
    <w:rsid w:val="00B24ED6"/>
    <w:rsid w:val="00B36201"/>
    <w:rsid w:val="00B46DD9"/>
    <w:rsid w:val="00B6225B"/>
    <w:rsid w:val="00B87079"/>
    <w:rsid w:val="00BD403C"/>
    <w:rsid w:val="00BD4EDA"/>
    <w:rsid w:val="00C00AB3"/>
    <w:rsid w:val="00C12425"/>
    <w:rsid w:val="00C36FFC"/>
    <w:rsid w:val="00C508E3"/>
    <w:rsid w:val="00C717C6"/>
    <w:rsid w:val="00C8734C"/>
    <w:rsid w:val="00C9355A"/>
    <w:rsid w:val="00CD6A36"/>
    <w:rsid w:val="00CD7F4D"/>
    <w:rsid w:val="00CE05C5"/>
    <w:rsid w:val="00CE48C5"/>
    <w:rsid w:val="00CE53C2"/>
    <w:rsid w:val="00CE774F"/>
    <w:rsid w:val="00CF667A"/>
    <w:rsid w:val="00D02C31"/>
    <w:rsid w:val="00D06854"/>
    <w:rsid w:val="00D1262B"/>
    <w:rsid w:val="00D17AC4"/>
    <w:rsid w:val="00D22A81"/>
    <w:rsid w:val="00D22F7F"/>
    <w:rsid w:val="00D24FDD"/>
    <w:rsid w:val="00D37B5B"/>
    <w:rsid w:val="00D50B5C"/>
    <w:rsid w:val="00D77587"/>
    <w:rsid w:val="00DC2631"/>
    <w:rsid w:val="00DD421A"/>
    <w:rsid w:val="00DE543E"/>
    <w:rsid w:val="00DE5597"/>
    <w:rsid w:val="00E0008B"/>
    <w:rsid w:val="00E02260"/>
    <w:rsid w:val="00E034E7"/>
    <w:rsid w:val="00E300C4"/>
    <w:rsid w:val="00E42554"/>
    <w:rsid w:val="00E451F6"/>
    <w:rsid w:val="00E456AF"/>
    <w:rsid w:val="00E90ADD"/>
    <w:rsid w:val="00EC11FA"/>
    <w:rsid w:val="00EC2B3D"/>
    <w:rsid w:val="00EE45D7"/>
    <w:rsid w:val="00EE6E28"/>
    <w:rsid w:val="00EF2277"/>
    <w:rsid w:val="00EF2B1A"/>
    <w:rsid w:val="00F50A9F"/>
    <w:rsid w:val="00F63F04"/>
    <w:rsid w:val="00F67119"/>
    <w:rsid w:val="00F76488"/>
    <w:rsid w:val="00FE14F6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2445"/>
  <w15:docId w15:val="{1DE5DD60-B764-47D3-B5A4-49AF2BC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06"/>
    <w:rPr>
      <w:rFonts w:eastAsiaTheme="minorEastAsia"/>
      <w:lang w:eastAsia="ko-KR"/>
    </w:rPr>
  </w:style>
  <w:style w:type="paragraph" w:styleId="1">
    <w:name w:val="heading 1"/>
    <w:basedOn w:val="a"/>
    <w:link w:val="10"/>
    <w:uiPriority w:val="9"/>
    <w:qFormat/>
    <w:rsid w:val="002D7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3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206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41220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12206"/>
    <w:rPr>
      <w:rFonts w:eastAsiaTheme="minorEastAsia"/>
      <w:sz w:val="20"/>
      <w:szCs w:val="20"/>
      <w:lang w:eastAsia="ko-KR"/>
    </w:rPr>
  </w:style>
  <w:style w:type="character" w:styleId="a6">
    <w:name w:val="Hyperlink"/>
    <w:basedOn w:val="a0"/>
    <w:uiPriority w:val="99"/>
    <w:unhideWhenUsed/>
    <w:rsid w:val="00391F15"/>
    <w:rPr>
      <w:color w:val="0000FF"/>
      <w:u w:val="single"/>
    </w:rPr>
  </w:style>
  <w:style w:type="table" w:styleId="a7">
    <w:name w:val="Table Grid"/>
    <w:basedOn w:val="a1"/>
    <w:uiPriority w:val="59"/>
    <w:unhideWhenUsed/>
    <w:rsid w:val="0065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8E3"/>
    <w:rPr>
      <w:rFonts w:ascii="Segoe UI" w:eastAsiaTheme="minorEastAsia" w:hAnsi="Segoe UI" w:cs="Segoe UI"/>
      <w:sz w:val="18"/>
      <w:szCs w:val="18"/>
      <w:lang w:eastAsia="ko-KR"/>
    </w:rPr>
  </w:style>
  <w:style w:type="character" w:styleId="aa">
    <w:name w:val="annotation reference"/>
    <w:basedOn w:val="a0"/>
    <w:uiPriority w:val="99"/>
    <w:semiHidden/>
    <w:unhideWhenUsed/>
    <w:rsid w:val="00C00AB3"/>
    <w:rPr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C00AB3"/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C00AB3"/>
    <w:rPr>
      <w:rFonts w:eastAsiaTheme="minorEastAsia"/>
      <w:b/>
      <w:bCs/>
      <w:sz w:val="20"/>
      <w:szCs w:val="20"/>
      <w:lang w:eastAsia="ko-KR"/>
    </w:rPr>
  </w:style>
  <w:style w:type="paragraph" w:styleId="ad">
    <w:name w:val="Subtitle"/>
    <w:basedOn w:val="a"/>
    <w:next w:val="a"/>
    <w:link w:val="ae"/>
    <w:uiPriority w:val="11"/>
    <w:qFormat/>
    <w:rsid w:val="00F7648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76488"/>
    <w:rPr>
      <w:rFonts w:eastAsiaTheme="minorEastAsia"/>
      <w:color w:val="5A5A5A" w:themeColor="text1" w:themeTint="A5"/>
      <w:spacing w:val="15"/>
      <w:lang w:eastAsia="ko-KR"/>
    </w:rPr>
  </w:style>
  <w:style w:type="character" w:customStyle="1" w:styleId="10">
    <w:name w:val="Заголовок 1 Знак"/>
    <w:basedOn w:val="a0"/>
    <w:link w:val="1"/>
    <w:uiPriority w:val="9"/>
    <w:rsid w:val="002D7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4C5BDD"/>
    <w:rPr>
      <w:i/>
      <w:iCs/>
    </w:rPr>
  </w:style>
  <w:style w:type="character" w:customStyle="1" w:styleId="hgkelc">
    <w:name w:val="hgkelc"/>
    <w:basedOn w:val="a0"/>
    <w:rsid w:val="004C5BDD"/>
  </w:style>
  <w:style w:type="character" w:customStyle="1" w:styleId="20">
    <w:name w:val="Заголовок 2 Знак"/>
    <w:basedOn w:val="a0"/>
    <w:link w:val="2"/>
    <w:uiPriority w:val="9"/>
    <w:rsid w:val="006C3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character" w:customStyle="1" w:styleId="sc-2mcr2-0">
    <w:name w:val="sc-2mcr2-0"/>
    <w:basedOn w:val="a0"/>
    <w:rsid w:val="006C3B93"/>
  </w:style>
  <w:style w:type="character" w:customStyle="1" w:styleId="sc-1nqzt6e-0">
    <w:name w:val="sc-1nqzt6e-0"/>
    <w:basedOn w:val="a0"/>
    <w:rsid w:val="006C3B93"/>
  </w:style>
  <w:style w:type="character" w:customStyle="1" w:styleId="sc-1nqzt6e-1">
    <w:name w:val="sc-1nqzt6e-1"/>
    <w:basedOn w:val="a0"/>
    <w:rsid w:val="006C3B93"/>
  </w:style>
  <w:style w:type="character" w:styleId="af0">
    <w:name w:val="FollowedHyperlink"/>
    <w:basedOn w:val="a0"/>
    <w:uiPriority w:val="99"/>
    <w:semiHidden/>
    <w:unhideWhenUsed/>
    <w:rsid w:val="00695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c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22F1-2E3A-4C78-9F15-0AFC39B6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423</dc:creator>
  <cp:lastModifiedBy>Елена Кручина</cp:lastModifiedBy>
  <cp:revision>2</cp:revision>
  <cp:lastPrinted>2025-04-03T12:14:00Z</cp:lastPrinted>
  <dcterms:created xsi:type="dcterms:W3CDTF">2025-10-13T09:48:00Z</dcterms:created>
  <dcterms:modified xsi:type="dcterms:W3CDTF">2025-10-13T09:48:00Z</dcterms:modified>
</cp:coreProperties>
</file>