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25F5" w14:textId="77777777" w:rsidR="00FB1008" w:rsidRPr="00FB1008" w:rsidRDefault="00FB1008" w:rsidP="00216F0C">
      <w:pPr>
        <w:suppressAutoHyphens/>
        <w:spacing w:after="0" w:line="360" w:lineRule="auto"/>
        <w:jc w:val="center"/>
        <w:outlineLvl w:val="1"/>
        <w:rPr>
          <w:rFonts w:ascii="Times New Roman" w:eastAsia="SimSun" w:hAnsi="Times New Roman" w:cs="Times New Roman"/>
          <w:b/>
          <w:caps/>
          <w:sz w:val="24"/>
          <w:szCs w:val="24"/>
          <w:lang w:eastAsia="zh-CN"/>
        </w:rPr>
      </w:pPr>
      <w:r w:rsidRPr="00FB1008">
        <w:rPr>
          <w:rFonts w:ascii="Times New Roman" w:eastAsia="SimSun" w:hAnsi="Times New Roman" w:cs="Times New Roman"/>
          <w:b/>
          <w:sz w:val="24"/>
          <w:szCs w:val="24"/>
          <w:lang w:eastAsia="zh-CN"/>
        </w:rPr>
        <w:t xml:space="preserve">ОЦЕНКА РЕЧНОГО СТОКА ОСНОВНЫХ ИОНОВ С ВОДОСБОРОВ МАЛЫХ РЕК В РАЙОНАХ МОНИТОРИНГА </w:t>
      </w:r>
      <w:r w:rsidRPr="00FB1008">
        <w:rPr>
          <w:rFonts w:ascii="Times New Roman" w:eastAsia="SimSun" w:hAnsi="Times New Roman" w:cs="Times New Roman"/>
          <w:b/>
          <w:sz w:val="24"/>
          <w:szCs w:val="24"/>
          <w:lang w:val="en-US" w:eastAsia="zh-CN"/>
        </w:rPr>
        <w:t>EANET</w:t>
      </w:r>
      <w:r w:rsidRPr="00FB1008">
        <w:rPr>
          <w:rFonts w:ascii="Times New Roman" w:eastAsia="SimSun" w:hAnsi="Times New Roman" w:cs="Times New Roman"/>
          <w:b/>
          <w:sz w:val="24"/>
          <w:szCs w:val="24"/>
          <w:lang w:eastAsia="zh-CN"/>
        </w:rPr>
        <w:t xml:space="preserve"> В РОССИИ</w:t>
      </w:r>
    </w:p>
    <w:p w14:paraId="05BCDE08" w14:textId="77777777" w:rsidR="00FB1008" w:rsidRPr="00FB1008" w:rsidRDefault="00FB1008" w:rsidP="00216F0C">
      <w:pPr>
        <w:spacing w:after="0" w:line="360" w:lineRule="auto"/>
        <w:jc w:val="center"/>
        <w:rPr>
          <w:rFonts w:ascii="Times New Roman" w:eastAsia="Calibri" w:hAnsi="Times New Roman" w:cs="Times New Roman"/>
          <w:b/>
          <w:caps/>
          <w:sz w:val="24"/>
          <w:lang w:val="en-US"/>
        </w:rPr>
      </w:pPr>
      <w:r w:rsidRPr="00FB1008">
        <w:rPr>
          <w:rFonts w:ascii="Times New Roman" w:eastAsia="Calibri" w:hAnsi="Times New Roman" w:cs="Times New Roman"/>
          <w:b/>
          <w:caps/>
          <w:sz w:val="24"/>
          <w:lang w:val="en-US"/>
        </w:rPr>
        <w:t>Evaluation of major ions runoff from small watersheds of EANET inland aquatic monitoring in Russia</w:t>
      </w:r>
    </w:p>
    <w:p w14:paraId="399E8AF6" w14:textId="77777777" w:rsidR="00FB1008" w:rsidRPr="00FB1008" w:rsidRDefault="00FB1008" w:rsidP="00216F0C">
      <w:pPr>
        <w:spacing w:after="0" w:line="360" w:lineRule="auto"/>
        <w:jc w:val="center"/>
        <w:rPr>
          <w:rFonts w:ascii="Times New Roman" w:eastAsia="Calibri" w:hAnsi="Times New Roman" w:cs="Times New Roman"/>
          <w:i/>
          <w:sz w:val="24"/>
          <w:szCs w:val="24"/>
          <w:vertAlign w:val="superscript"/>
          <w:lang w:eastAsia="ru-RU"/>
        </w:rPr>
      </w:pPr>
      <w:r w:rsidRPr="00FB1008">
        <w:rPr>
          <w:rFonts w:ascii="Times New Roman" w:eastAsia="Calibri" w:hAnsi="Times New Roman" w:cs="Times New Roman"/>
          <w:i/>
          <w:sz w:val="24"/>
          <w:szCs w:val="24"/>
          <w:lang w:eastAsia="ru-RU"/>
        </w:rPr>
        <w:t>Жигачева Е.С.</w:t>
      </w:r>
      <w:r w:rsidRPr="00FB1008">
        <w:rPr>
          <w:rFonts w:ascii="Times New Roman" w:eastAsia="Calibri" w:hAnsi="Times New Roman" w:cs="Times New Roman"/>
          <w:i/>
          <w:sz w:val="24"/>
          <w:szCs w:val="24"/>
          <w:vertAlign w:val="superscript"/>
          <w:lang w:eastAsia="ru-RU"/>
        </w:rPr>
        <w:t>1</w:t>
      </w:r>
      <w:r w:rsidRPr="00FB1008">
        <w:rPr>
          <w:rFonts w:ascii="Times New Roman" w:eastAsia="Calibri" w:hAnsi="Times New Roman" w:cs="Times New Roman"/>
          <w:i/>
          <w:sz w:val="24"/>
          <w:szCs w:val="24"/>
          <w:lang w:eastAsia="ru-RU"/>
        </w:rPr>
        <w:t>, Громов С.А.</w:t>
      </w:r>
      <w:r w:rsidRPr="00FB1008">
        <w:rPr>
          <w:rFonts w:ascii="Times New Roman" w:eastAsia="Calibri" w:hAnsi="Times New Roman" w:cs="Times New Roman"/>
          <w:i/>
          <w:sz w:val="24"/>
          <w:szCs w:val="24"/>
          <w:vertAlign w:val="superscript"/>
          <w:lang w:eastAsia="ru-RU"/>
        </w:rPr>
        <w:t>1</w:t>
      </w:r>
      <w:r w:rsidR="00FC1D2D">
        <w:rPr>
          <w:rFonts w:ascii="Times New Roman" w:eastAsia="Calibri" w:hAnsi="Times New Roman" w:cs="Times New Roman"/>
          <w:i/>
          <w:sz w:val="24"/>
          <w:szCs w:val="24"/>
          <w:vertAlign w:val="superscript"/>
          <w:lang w:eastAsia="ru-RU"/>
        </w:rPr>
        <w:t>,</w:t>
      </w:r>
      <w:r w:rsidRPr="00FB1008">
        <w:rPr>
          <w:rFonts w:ascii="Times New Roman" w:eastAsia="Calibri" w:hAnsi="Times New Roman" w:cs="Times New Roman"/>
          <w:i/>
          <w:sz w:val="24"/>
          <w:szCs w:val="24"/>
          <w:vertAlign w:val="superscript"/>
          <w:lang w:eastAsia="ru-RU"/>
        </w:rPr>
        <w:t>2</w:t>
      </w:r>
    </w:p>
    <w:p w14:paraId="1245BFBC" w14:textId="77777777" w:rsidR="00FB1008" w:rsidRPr="00FB1008" w:rsidRDefault="00FB1008" w:rsidP="00216F0C">
      <w:pPr>
        <w:spacing w:after="0" w:line="360" w:lineRule="auto"/>
        <w:jc w:val="center"/>
        <w:rPr>
          <w:rFonts w:ascii="Times New Roman" w:eastAsia="Calibri" w:hAnsi="Times New Roman" w:cs="Times New Roman"/>
          <w:i/>
          <w:sz w:val="24"/>
          <w:szCs w:val="24"/>
          <w:vertAlign w:val="superscript"/>
          <w:lang w:val="en-US" w:eastAsia="ru-RU"/>
        </w:rPr>
      </w:pPr>
      <w:proofErr w:type="spellStart"/>
      <w:r w:rsidRPr="00FB1008">
        <w:rPr>
          <w:rFonts w:ascii="Times New Roman" w:eastAsia="Calibri" w:hAnsi="Times New Roman" w:cs="Times New Roman"/>
          <w:i/>
          <w:sz w:val="24"/>
          <w:szCs w:val="24"/>
          <w:lang w:val="en-US" w:eastAsia="ru-RU"/>
        </w:rPr>
        <w:t>Zhigacheva</w:t>
      </w:r>
      <w:proofErr w:type="spellEnd"/>
      <w:r w:rsidRPr="00FB1008">
        <w:rPr>
          <w:rFonts w:ascii="Times New Roman" w:eastAsia="Calibri" w:hAnsi="Times New Roman" w:cs="Times New Roman"/>
          <w:i/>
          <w:sz w:val="24"/>
          <w:szCs w:val="24"/>
          <w:lang w:val="en-US" w:eastAsia="ru-RU"/>
        </w:rPr>
        <w:t xml:space="preserve"> </w:t>
      </w:r>
      <w:r w:rsidRPr="00FB1008">
        <w:rPr>
          <w:rFonts w:ascii="Times New Roman" w:eastAsia="Calibri" w:hAnsi="Times New Roman" w:cs="Times New Roman"/>
          <w:i/>
          <w:sz w:val="24"/>
          <w:szCs w:val="24"/>
          <w:lang w:eastAsia="ru-RU"/>
        </w:rPr>
        <w:t>Е</w:t>
      </w:r>
      <w:r w:rsidRPr="00FB1008">
        <w:rPr>
          <w:rFonts w:ascii="Times New Roman" w:eastAsia="Calibri" w:hAnsi="Times New Roman" w:cs="Times New Roman"/>
          <w:i/>
          <w:sz w:val="24"/>
          <w:szCs w:val="24"/>
          <w:lang w:val="en-US" w:eastAsia="ru-RU"/>
        </w:rPr>
        <w:t>.S.</w:t>
      </w:r>
      <w:r w:rsidRPr="00FB1008">
        <w:rPr>
          <w:rFonts w:ascii="Times New Roman" w:eastAsia="Calibri" w:hAnsi="Times New Roman" w:cs="Times New Roman"/>
          <w:i/>
          <w:sz w:val="24"/>
          <w:szCs w:val="24"/>
          <w:vertAlign w:val="superscript"/>
          <w:lang w:val="en-US" w:eastAsia="ru-RU"/>
        </w:rPr>
        <w:t>1</w:t>
      </w:r>
      <w:r w:rsidRPr="00FB1008">
        <w:rPr>
          <w:rFonts w:ascii="Times New Roman" w:eastAsia="Calibri" w:hAnsi="Times New Roman" w:cs="Times New Roman"/>
          <w:i/>
          <w:sz w:val="24"/>
          <w:szCs w:val="24"/>
          <w:lang w:val="en-US" w:eastAsia="ru-RU"/>
        </w:rPr>
        <w:t xml:space="preserve">, </w:t>
      </w:r>
      <w:proofErr w:type="spellStart"/>
      <w:r w:rsidRPr="00FB1008">
        <w:rPr>
          <w:rFonts w:ascii="Times New Roman" w:eastAsia="Calibri" w:hAnsi="Times New Roman" w:cs="Times New Roman"/>
          <w:i/>
          <w:sz w:val="24"/>
          <w:szCs w:val="24"/>
          <w:lang w:val="en-US" w:eastAsia="ru-RU"/>
        </w:rPr>
        <w:t>Gromov</w:t>
      </w:r>
      <w:proofErr w:type="spellEnd"/>
      <w:r w:rsidRPr="00FB1008">
        <w:rPr>
          <w:rFonts w:ascii="Times New Roman" w:eastAsia="Calibri" w:hAnsi="Times New Roman" w:cs="Times New Roman"/>
          <w:i/>
          <w:sz w:val="24"/>
          <w:szCs w:val="24"/>
          <w:lang w:val="en-US" w:eastAsia="ru-RU"/>
        </w:rPr>
        <w:t xml:space="preserve"> S.</w:t>
      </w:r>
      <w:r w:rsidRPr="00FB1008">
        <w:rPr>
          <w:rFonts w:ascii="Times New Roman" w:eastAsia="Calibri" w:hAnsi="Times New Roman" w:cs="Times New Roman"/>
          <w:i/>
          <w:sz w:val="24"/>
          <w:szCs w:val="24"/>
          <w:lang w:eastAsia="ru-RU"/>
        </w:rPr>
        <w:t>А</w:t>
      </w:r>
      <w:r w:rsidRPr="00FB1008">
        <w:rPr>
          <w:rFonts w:ascii="Times New Roman" w:eastAsia="Calibri" w:hAnsi="Times New Roman" w:cs="Times New Roman"/>
          <w:i/>
          <w:sz w:val="24"/>
          <w:szCs w:val="24"/>
          <w:lang w:val="en-US" w:eastAsia="ru-RU"/>
        </w:rPr>
        <w:t>.</w:t>
      </w:r>
      <w:r w:rsidRPr="00FB1008">
        <w:rPr>
          <w:rFonts w:ascii="Times New Roman" w:eastAsia="Calibri" w:hAnsi="Times New Roman" w:cs="Times New Roman"/>
          <w:i/>
          <w:sz w:val="24"/>
          <w:szCs w:val="24"/>
          <w:vertAlign w:val="superscript"/>
          <w:lang w:val="en-US" w:eastAsia="ru-RU"/>
        </w:rPr>
        <w:t>1</w:t>
      </w:r>
      <w:r w:rsidR="00FC1D2D">
        <w:rPr>
          <w:rFonts w:ascii="Times New Roman" w:eastAsia="Calibri" w:hAnsi="Times New Roman" w:cs="Times New Roman"/>
          <w:i/>
          <w:sz w:val="24"/>
          <w:szCs w:val="24"/>
          <w:vertAlign w:val="superscript"/>
          <w:lang w:eastAsia="ru-RU"/>
        </w:rPr>
        <w:t>,</w:t>
      </w:r>
      <w:r w:rsidRPr="00FB1008">
        <w:rPr>
          <w:rFonts w:ascii="Times New Roman" w:eastAsia="Calibri" w:hAnsi="Times New Roman" w:cs="Times New Roman"/>
          <w:i/>
          <w:sz w:val="24"/>
          <w:szCs w:val="24"/>
          <w:vertAlign w:val="superscript"/>
          <w:lang w:val="en-US" w:eastAsia="ru-RU"/>
        </w:rPr>
        <w:t>2</w:t>
      </w:r>
    </w:p>
    <w:p w14:paraId="18D943E6" w14:textId="77777777" w:rsidR="00FB1008" w:rsidRPr="00FB1008" w:rsidRDefault="00FB1008" w:rsidP="00216F0C">
      <w:pPr>
        <w:spacing w:after="0" w:line="240" w:lineRule="auto"/>
        <w:jc w:val="center"/>
        <w:rPr>
          <w:rFonts w:ascii="Times New Roman" w:eastAsia="Calibri" w:hAnsi="Times New Roman" w:cs="Times New Roman"/>
          <w:sz w:val="20"/>
          <w:szCs w:val="20"/>
        </w:rPr>
      </w:pPr>
      <w:r w:rsidRPr="00FB1008">
        <w:rPr>
          <w:rFonts w:ascii="Times New Roman" w:eastAsia="Calibri" w:hAnsi="Times New Roman" w:cs="Times New Roman"/>
          <w:sz w:val="20"/>
          <w:szCs w:val="20"/>
          <w:vertAlign w:val="superscript"/>
        </w:rPr>
        <w:t>1</w:t>
      </w:r>
      <w:r w:rsidRPr="00FB1008">
        <w:rPr>
          <w:rFonts w:ascii="Times New Roman" w:eastAsia="Calibri" w:hAnsi="Times New Roman" w:cs="Times New Roman"/>
          <w:sz w:val="20"/>
          <w:szCs w:val="20"/>
        </w:rPr>
        <w:t xml:space="preserve"> ФГБУ «Институт глобального климата и экологии имени академика Ю.А. Израэля»</w:t>
      </w:r>
    </w:p>
    <w:p w14:paraId="620E95A9" w14:textId="77777777" w:rsidR="00FB1008" w:rsidRPr="00FB1008" w:rsidRDefault="00FB1008" w:rsidP="00216F0C">
      <w:pPr>
        <w:spacing w:after="0" w:line="240" w:lineRule="auto"/>
        <w:jc w:val="center"/>
        <w:rPr>
          <w:rFonts w:ascii="Times New Roman" w:eastAsia="Yu Mincho" w:hAnsi="Times New Roman" w:cs="Times New Roman"/>
          <w:sz w:val="20"/>
          <w:szCs w:val="20"/>
        </w:rPr>
      </w:pPr>
      <w:r w:rsidRPr="00FB1008">
        <w:rPr>
          <w:rFonts w:ascii="Times New Roman" w:eastAsia="Calibri" w:hAnsi="Times New Roman" w:cs="Times New Roman"/>
          <w:sz w:val="20"/>
          <w:szCs w:val="20"/>
        </w:rPr>
        <w:t>Россия, 107258, Москва, Глебовская, 20Б</w:t>
      </w:r>
      <w:r w:rsidR="00744EEA">
        <w:rPr>
          <w:rFonts w:ascii="Times New Roman" w:eastAsia="Calibri" w:hAnsi="Times New Roman" w:cs="Times New Roman"/>
          <w:sz w:val="20"/>
          <w:szCs w:val="20"/>
        </w:rPr>
        <w:t>;</w:t>
      </w:r>
      <w:r w:rsidR="005B0E52">
        <w:rPr>
          <w:rFonts w:ascii="Times New Roman" w:eastAsia="Calibri" w:hAnsi="Times New Roman" w:cs="Times New Roman"/>
          <w:sz w:val="20"/>
          <w:szCs w:val="20"/>
        </w:rPr>
        <w:t xml:space="preserve"> </w:t>
      </w:r>
      <w:r w:rsidR="00263804" w:rsidRPr="00744EEA">
        <w:rPr>
          <w:rFonts w:ascii="Times New Roman" w:eastAsia="Calibri" w:hAnsi="Times New Roman" w:cs="Times New Roman"/>
          <w:i/>
          <w:sz w:val="20"/>
          <w:szCs w:val="20"/>
        </w:rPr>
        <w:t>zhigacheva@igce.ru</w:t>
      </w:r>
    </w:p>
    <w:p w14:paraId="64905CB1" w14:textId="77777777" w:rsidR="00FB1008" w:rsidRPr="00FB1008" w:rsidRDefault="00FB1008" w:rsidP="00216F0C">
      <w:pPr>
        <w:spacing w:after="0" w:line="240" w:lineRule="auto"/>
        <w:jc w:val="center"/>
        <w:rPr>
          <w:rFonts w:ascii="Times New Roman" w:eastAsia="Calibri" w:hAnsi="Times New Roman" w:cs="Times New Roman"/>
          <w:sz w:val="20"/>
          <w:szCs w:val="20"/>
        </w:rPr>
      </w:pPr>
      <w:r w:rsidRPr="00FB1008">
        <w:rPr>
          <w:rFonts w:ascii="Times New Roman" w:eastAsia="Calibri" w:hAnsi="Times New Roman" w:cs="Times New Roman"/>
          <w:sz w:val="20"/>
          <w:szCs w:val="20"/>
          <w:vertAlign w:val="superscript"/>
        </w:rPr>
        <w:t>2</w:t>
      </w:r>
      <w:r w:rsidRPr="00FB1008">
        <w:rPr>
          <w:rFonts w:ascii="Times New Roman" w:eastAsia="Calibri" w:hAnsi="Times New Roman" w:cs="Times New Roman"/>
          <w:sz w:val="20"/>
          <w:szCs w:val="20"/>
        </w:rPr>
        <w:t xml:space="preserve"> ФГБУН Институт географии РАН</w:t>
      </w:r>
    </w:p>
    <w:p w14:paraId="1140EC83" w14:textId="77777777" w:rsidR="00FB1008" w:rsidRPr="00FB1008" w:rsidRDefault="00FB1008" w:rsidP="00216F0C">
      <w:pPr>
        <w:spacing w:after="0" w:line="240" w:lineRule="auto"/>
        <w:jc w:val="center"/>
      </w:pPr>
      <w:r w:rsidRPr="00FB1008">
        <w:rPr>
          <w:rFonts w:ascii="Times New Roman" w:eastAsia="Calibri" w:hAnsi="Times New Roman" w:cs="Times New Roman"/>
          <w:sz w:val="20"/>
          <w:szCs w:val="20"/>
        </w:rPr>
        <w:t xml:space="preserve">Россия, 109017, Москва, </w:t>
      </w:r>
      <w:proofErr w:type="spellStart"/>
      <w:r w:rsidRPr="00FB1008">
        <w:rPr>
          <w:rFonts w:ascii="Times New Roman" w:eastAsia="Calibri" w:hAnsi="Times New Roman" w:cs="Times New Roman"/>
          <w:sz w:val="20"/>
          <w:szCs w:val="20"/>
        </w:rPr>
        <w:t>Старомонетный</w:t>
      </w:r>
      <w:proofErr w:type="spellEnd"/>
      <w:r w:rsidRPr="00FB1008">
        <w:rPr>
          <w:rFonts w:ascii="Times New Roman" w:eastAsia="Calibri" w:hAnsi="Times New Roman" w:cs="Times New Roman"/>
          <w:sz w:val="20"/>
          <w:szCs w:val="20"/>
        </w:rPr>
        <w:t xml:space="preserve"> пер., 29</w:t>
      </w:r>
      <w:r w:rsidR="00744EEA">
        <w:rPr>
          <w:rFonts w:ascii="Times New Roman" w:eastAsia="Calibri" w:hAnsi="Times New Roman" w:cs="Times New Roman"/>
          <w:sz w:val="20"/>
          <w:szCs w:val="20"/>
        </w:rPr>
        <w:t>;</w:t>
      </w:r>
      <w:r w:rsidR="005B0E52">
        <w:rPr>
          <w:rFonts w:ascii="Times New Roman" w:eastAsia="Calibri" w:hAnsi="Times New Roman" w:cs="Times New Roman"/>
          <w:sz w:val="20"/>
          <w:szCs w:val="20"/>
        </w:rPr>
        <w:t xml:space="preserve"> </w:t>
      </w:r>
      <w:r w:rsidR="005B0E52" w:rsidRPr="00744EEA">
        <w:rPr>
          <w:rFonts w:ascii="Times New Roman" w:eastAsia="Calibri" w:hAnsi="Times New Roman" w:cs="Times New Roman"/>
          <w:i/>
          <w:sz w:val="20"/>
          <w:szCs w:val="20"/>
        </w:rPr>
        <w:t>sergey.gromov@igce.ru</w:t>
      </w:r>
    </w:p>
    <w:p w14:paraId="02BE1AE3" w14:textId="77777777" w:rsidR="00FB1008" w:rsidRPr="00FB1008" w:rsidRDefault="00FB1008" w:rsidP="00FB1008">
      <w:pPr>
        <w:spacing w:line="256" w:lineRule="auto"/>
        <w:rPr>
          <w:rFonts w:ascii="Calibri" w:eastAsia="Calibri" w:hAnsi="Calibri" w:cs="Times New Roman"/>
          <w:kern w:val="2"/>
          <w14:ligatures w14:val="standardContextual"/>
        </w:rPr>
      </w:pPr>
    </w:p>
    <w:p w14:paraId="521A19E8" w14:textId="77777777" w:rsidR="00FB1008" w:rsidRPr="00FB1008" w:rsidRDefault="00FB1008" w:rsidP="00216F0C">
      <w:pPr>
        <w:spacing w:after="0" w:line="240" w:lineRule="auto"/>
        <w:ind w:firstLine="709"/>
        <w:jc w:val="both"/>
        <w:rPr>
          <w:rFonts w:ascii="Times New Roman" w:eastAsia="Calibri" w:hAnsi="Times New Roman" w:cs="Times New Roman"/>
          <w:sz w:val="20"/>
          <w:szCs w:val="20"/>
        </w:rPr>
      </w:pPr>
      <w:r w:rsidRPr="00FB1008">
        <w:rPr>
          <w:rFonts w:ascii="Times New Roman" w:eastAsia="Calibri" w:hAnsi="Times New Roman" w:cs="Times New Roman"/>
          <w:b/>
          <w:bCs/>
          <w:sz w:val="20"/>
          <w:szCs w:val="20"/>
        </w:rPr>
        <w:t>Аннотация.</w:t>
      </w:r>
      <w:r w:rsidRPr="00FB1008">
        <w:rPr>
          <w:rFonts w:ascii="Times New Roman" w:eastAsia="Calibri" w:hAnsi="Times New Roman" w:cs="Times New Roman"/>
          <w:sz w:val="20"/>
          <w:szCs w:val="20"/>
        </w:rPr>
        <w:t xml:space="preserve"> На территории России по программе Сети кислотных выпадений в Восточной Азии (EANET) ведется мониторинг химического состава поверхностных вод двух рек: </w:t>
      </w:r>
      <w:proofErr w:type="spellStart"/>
      <w:r w:rsidRPr="00FB1008">
        <w:rPr>
          <w:rFonts w:ascii="Times New Roman" w:eastAsia="Calibri" w:hAnsi="Times New Roman" w:cs="Times New Roman"/>
          <w:sz w:val="20"/>
          <w:szCs w:val="20"/>
        </w:rPr>
        <w:t>Переемная</w:t>
      </w:r>
      <w:proofErr w:type="spellEnd"/>
      <w:r w:rsidRPr="00FB1008">
        <w:rPr>
          <w:rFonts w:ascii="Times New Roman" w:eastAsia="Calibri" w:hAnsi="Times New Roman" w:cs="Times New Roman"/>
          <w:sz w:val="20"/>
          <w:szCs w:val="20"/>
        </w:rPr>
        <w:t xml:space="preserve"> и Комаровка в разных регионах. Отбор гидрохимических проб проводится четыре или пять раз в год в соответствии с основными фазами гидрологических режимов. Для Комаровки по данным речного стока и концентраций веществ были рассчитаны сезонные и годовые выносы основных ионов, соединений серы и азота. Для расчётов были использованы два вида аппроксимации, результаты сопоставления которых представлены в работе. Для реки </w:t>
      </w:r>
      <w:proofErr w:type="spellStart"/>
      <w:r w:rsidRPr="00FB1008">
        <w:rPr>
          <w:rFonts w:ascii="Times New Roman" w:eastAsia="Calibri" w:hAnsi="Times New Roman" w:cs="Times New Roman"/>
          <w:sz w:val="20"/>
          <w:szCs w:val="20"/>
        </w:rPr>
        <w:t>Переемной</w:t>
      </w:r>
      <w:proofErr w:type="spellEnd"/>
      <w:r w:rsidRPr="00FB1008">
        <w:rPr>
          <w:rFonts w:ascii="Times New Roman" w:eastAsia="Calibri" w:hAnsi="Times New Roman" w:cs="Times New Roman"/>
          <w:sz w:val="20"/>
          <w:szCs w:val="20"/>
        </w:rPr>
        <w:t xml:space="preserve"> из-за отсутствия гидрологических наблюдений были рассмотрены варианты использования данных об объемах речного стока рек-аналогов этого региона.</w:t>
      </w:r>
    </w:p>
    <w:p w14:paraId="4E60AFE6" w14:textId="77777777" w:rsidR="00FB1008" w:rsidRPr="00FB1008" w:rsidRDefault="00FB1008" w:rsidP="00216F0C">
      <w:pPr>
        <w:spacing w:after="0" w:line="256" w:lineRule="auto"/>
        <w:ind w:firstLine="709"/>
        <w:rPr>
          <w:rFonts w:ascii="Times New Roman" w:eastAsia="Calibri" w:hAnsi="Times New Roman" w:cs="Times New Roman"/>
          <w:kern w:val="2"/>
          <w:sz w:val="20"/>
          <w:szCs w:val="20"/>
          <w14:ligatures w14:val="standardContextual"/>
        </w:rPr>
      </w:pPr>
      <w:r w:rsidRPr="00FB1008">
        <w:rPr>
          <w:rFonts w:ascii="Times New Roman" w:eastAsia="Calibri" w:hAnsi="Times New Roman" w:cs="Times New Roman"/>
          <w:b/>
          <w:bCs/>
          <w:kern w:val="2"/>
          <w:sz w:val="20"/>
          <w:szCs w:val="20"/>
          <w14:ligatures w14:val="standardContextual"/>
        </w:rPr>
        <w:t>Ключевые слова:</w:t>
      </w:r>
      <w:r w:rsidRPr="00FB1008">
        <w:rPr>
          <w:rFonts w:ascii="Times New Roman" w:eastAsia="Calibri" w:hAnsi="Times New Roman" w:cs="Times New Roman"/>
          <w:kern w:val="2"/>
          <w:sz w:val="20"/>
          <w:szCs w:val="20"/>
          <w14:ligatures w14:val="standardContextual"/>
        </w:rPr>
        <w:t xml:space="preserve"> русловой сток, поверхностные воды, малые водосборы.</w:t>
      </w:r>
    </w:p>
    <w:p w14:paraId="6E48FA7F" w14:textId="77777777" w:rsidR="00FB1008" w:rsidRPr="00FB1008" w:rsidRDefault="00FB1008" w:rsidP="00216F0C">
      <w:pPr>
        <w:spacing w:after="0" w:line="256" w:lineRule="auto"/>
        <w:ind w:firstLine="709"/>
        <w:rPr>
          <w:rFonts w:ascii="Times New Roman" w:eastAsia="Calibri" w:hAnsi="Times New Roman" w:cs="Times New Roman"/>
          <w:kern w:val="2"/>
          <w:sz w:val="20"/>
          <w:szCs w:val="20"/>
          <w14:ligatures w14:val="standardContextual"/>
        </w:rPr>
      </w:pPr>
    </w:p>
    <w:p w14:paraId="00BEC237" w14:textId="77777777" w:rsidR="00FB1008" w:rsidRPr="00FB1008" w:rsidRDefault="00FB1008" w:rsidP="00216F0C">
      <w:pPr>
        <w:spacing w:after="0" w:line="256" w:lineRule="auto"/>
        <w:ind w:firstLine="709"/>
        <w:jc w:val="both"/>
        <w:rPr>
          <w:rFonts w:ascii="Times New Roman" w:eastAsia="Calibri" w:hAnsi="Times New Roman" w:cs="Times New Roman"/>
          <w:kern w:val="2"/>
          <w:sz w:val="20"/>
          <w:szCs w:val="20"/>
          <w:lang w:val="en-US"/>
          <w14:ligatures w14:val="standardContextual"/>
        </w:rPr>
      </w:pPr>
      <w:r w:rsidRPr="00FB1008">
        <w:rPr>
          <w:rFonts w:ascii="Times New Roman" w:eastAsia="Calibri" w:hAnsi="Times New Roman" w:cs="Times New Roman"/>
          <w:b/>
          <w:bCs/>
          <w:kern w:val="2"/>
          <w:sz w:val="20"/>
          <w:szCs w:val="20"/>
          <w:lang w:val="en-US"/>
          <w14:ligatures w14:val="standardContextual"/>
        </w:rPr>
        <w:t>Abstract</w:t>
      </w:r>
      <w:r w:rsidR="00A124C8" w:rsidRPr="00A124C8">
        <w:rPr>
          <w:rFonts w:ascii="Times New Roman" w:eastAsia="Calibri" w:hAnsi="Times New Roman" w:cs="Times New Roman"/>
          <w:b/>
          <w:kern w:val="2"/>
          <w:sz w:val="20"/>
          <w:szCs w:val="20"/>
          <w14:ligatures w14:val="standardContextual"/>
        </w:rPr>
        <w:t>.</w:t>
      </w:r>
      <w:r w:rsidRPr="00FB1008">
        <w:rPr>
          <w:rFonts w:ascii="Times New Roman" w:eastAsia="Calibri" w:hAnsi="Times New Roman" w:cs="Times New Roman"/>
          <w:kern w:val="2"/>
          <w:sz w:val="20"/>
          <w:szCs w:val="20"/>
          <w:lang w:val="en-US"/>
          <w14:ligatures w14:val="standardContextual"/>
        </w:rPr>
        <w:t xml:space="preserve"> Under the program of the Acid Deposition Network in East Asia (EANET) the chemical ionic composition of surface waters of two rivers has being monitored in different regions of Russia: the </w:t>
      </w:r>
      <w:proofErr w:type="spellStart"/>
      <w:r w:rsidRPr="00FB1008">
        <w:rPr>
          <w:rFonts w:ascii="Times New Roman" w:eastAsia="Calibri" w:hAnsi="Times New Roman" w:cs="Times New Roman"/>
          <w:kern w:val="2"/>
          <w:sz w:val="20"/>
          <w:szCs w:val="20"/>
          <w:lang w:val="en-US"/>
          <w14:ligatures w14:val="standardContextual"/>
        </w:rPr>
        <w:t>Pereemnaya</w:t>
      </w:r>
      <w:proofErr w:type="spellEnd"/>
      <w:r w:rsidRPr="00FB1008">
        <w:rPr>
          <w:rFonts w:ascii="Times New Roman" w:eastAsia="Calibri" w:hAnsi="Times New Roman" w:cs="Times New Roman"/>
          <w:kern w:val="2"/>
          <w:sz w:val="20"/>
          <w:szCs w:val="20"/>
          <w:lang w:val="en-US"/>
          <w14:ligatures w14:val="standardContextual"/>
        </w:rPr>
        <w:t xml:space="preserve"> River and the </w:t>
      </w:r>
      <w:proofErr w:type="spellStart"/>
      <w:r w:rsidRPr="00FB1008">
        <w:rPr>
          <w:rFonts w:ascii="Times New Roman" w:eastAsia="Calibri" w:hAnsi="Times New Roman" w:cs="Times New Roman"/>
          <w:kern w:val="2"/>
          <w:sz w:val="20"/>
          <w:szCs w:val="20"/>
          <w:lang w:val="en-US"/>
          <w14:ligatures w14:val="standardContextual"/>
        </w:rPr>
        <w:t>Komarovka</w:t>
      </w:r>
      <w:proofErr w:type="spellEnd"/>
      <w:r w:rsidRPr="00FB1008">
        <w:rPr>
          <w:rFonts w:ascii="Times New Roman" w:eastAsia="Calibri" w:hAnsi="Times New Roman" w:cs="Times New Roman"/>
          <w:kern w:val="2"/>
          <w:sz w:val="20"/>
          <w:szCs w:val="20"/>
          <w:lang w:val="en-US"/>
          <w14:ligatures w14:val="standardContextual"/>
        </w:rPr>
        <w:t xml:space="preserve"> River. </w:t>
      </w:r>
      <w:proofErr w:type="spellStart"/>
      <w:r w:rsidRPr="00FB1008">
        <w:rPr>
          <w:rFonts w:ascii="Times New Roman" w:eastAsia="Calibri" w:hAnsi="Times New Roman" w:cs="Times New Roman"/>
          <w:kern w:val="2"/>
          <w:sz w:val="20"/>
          <w:szCs w:val="20"/>
          <w:lang w:val="en-US"/>
          <w14:ligatures w14:val="standardContextual"/>
        </w:rPr>
        <w:t>Hydrochemical</w:t>
      </w:r>
      <w:proofErr w:type="spellEnd"/>
      <w:r w:rsidRPr="00FB1008">
        <w:rPr>
          <w:rFonts w:ascii="Times New Roman" w:eastAsia="Calibri" w:hAnsi="Times New Roman" w:cs="Times New Roman"/>
          <w:kern w:val="2"/>
          <w:sz w:val="20"/>
          <w:szCs w:val="20"/>
          <w:lang w:val="en-US"/>
          <w14:ligatures w14:val="standardContextual"/>
        </w:rPr>
        <w:t xml:space="preserve"> sampling at river sites is carried out four or five times a year in accordance with the main phases of hydrological regimes. For </w:t>
      </w:r>
      <w:proofErr w:type="spellStart"/>
      <w:r w:rsidRPr="00FB1008">
        <w:rPr>
          <w:rFonts w:ascii="Times New Roman" w:eastAsia="Calibri" w:hAnsi="Times New Roman" w:cs="Times New Roman"/>
          <w:kern w:val="2"/>
          <w:sz w:val="20"/>
          <w:szCs w:val="20"/>
          <w:lang w:val="en-US"/>
          <w14:ligatures w14:val="standardContextual"/>
        </w:rPr>
        <w:t>Komarovka</w:t>
      </w:r>
      <w:proofErr w:type="spellEnd"/>
      <w:r w:rsidRPr="00FB1008">
        <w:rPr>
          <w:rFonts w:ascii="Times New Roman" w:eastAsia="Calibri" w:hAnsi="Times New Roman" w:cs="Times New Roman"/>
          <w:kern w:val="2"/>
          <w:sz w:val="20"/>
          <w:szCs w:val="20"/>
          <w:lang w:val="en-US"/>
          <w14:ligatures w14:val="standardContextual"/>
        </w:rPr>
        <w:t>, using the data of stream water runoff discharge and concentrations of components, seasonal and annual discharge of the major ions, sulfur and nitrogen compounds were calculated. For the calculations, two types of approximation were used, the results of which are compared in the work. For PRM, due to the lack of hydrological observations, possibilities of using data on the volumes of river runoff discharge from analogues rivers from the same region were considered.</w:t>
      </w:r>
    </w:p>
    <w:p w14:paraId="312D76FF" w14:textId="77777777" w:rsidR="00FB1008" w:rsidRPr="00FB1008" w:rsidRDefault="00FB1008" w:rsidP="00216F0C">
      <w:pPr>
        <w:spacing w:after="0" w:line="256" w:lineRule="auto"/>
        <w:ind w:firstLine="709"/>
        <w:rPr>
          <w:rFonts w:ascii="Times New Roman" w:eastAsia="Calibri" w:hAnsi="Times New Roman" w:cs="Times New Roman"/>
          <w:kern w:val="2"/>
          <w:sz w:val="20"/>
          <w:szCs w:val="20"/>
          <w:lang w:val="en-US"/>
          <w14:ligatures w14:val="standardContextual"/>
        </w:rPr>
      </w:pPr>
      <w:r w:rsidRPr="00FB1008">
        <w:rPr>
          <w:rFonts w:ascii="Times New Roman" w:eastAsia="Calibri" w:hAnsi="Times New Roman" w:cs="Times New Roman"/>
          <w:b/>
          <w:bCs/>
          <w:kern w:val="2"/>
          <w:sz w:val="20"/>
          <w:szCs w:val="20"/>
          <w:lang w:val="en-US"/>
          <w14:ligatures w14:val="standardContextual"/>
        </w:rPr>
        <w:t>Key words:</w:t>
      </w:r>
      <w:r w:rsidRPr="00FB1008">
        <w:rPr>
          <w:rFonts w:ascii="Times New Roman" w:eastAsia="Calibri" w:hAnsi="Times New Roman" w:cs="Times New Roman"/>
          <w:kern w:val="2"/>
          <w:sz w:val="20"/>
          <w:szCs w:val="20"/>
          <w:lang w:val="en-US"/>
          <w14:ligatures w14:val="standardContextual"/>
        </w:rPr>
        <w:t xml:space="preserve"> stream water discharge, surface water, small watersheds.</w:t>
      </w:r>
    </w:p>
    <w:p w14:paraId="383AE543" w14:textId="77777777" w:rsidR="00FB1008" w:rsidRPr="00FB1008" w:rsidRDefault="00FB1008" w:rsidP="00216F0C">
      <w:pPr>
        <w:spacing w:line="256" w:lineRule="auto"/>
        <w:ind w:firstLine="709"/>
        <w:rPr>
          <w:rFonts w:ascii="Times New Roman" w:eastAsia="Calibri" w:hAnsi="Times New Roman" w:cs="Times New Roman"/>
          <w:kern w:val="2"/>
          <w:lang w:val="en-US"/>
          <w14:ligatures w14:val="standardContextual"/>
        </w:rPr>
      </w:pPr>
    </w:p>
    <w:p w14:paraId="467A0B67" w14:textId="77777777" w:rsidR="00FB1008" w:rsidRPr="00FB1008" w:rsidRDefault="00FB1008" w:rsidP="00216F0C">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 xml:space="preserve">Ряд исследований показывает, что в последнее время вынос </w:t>
      </w:r>
      <w:r w:rsidRPr="00FB1008">
        <w:rPr>
          <w:rFonts w:ascii="Times New Roman" w:eastAsia="Calibri" w:hAnsi="Times New Roman" w:cs="Times New Roman"/>
          <w:sz w:val="24"/>
          <w:lang w:val="en-US"/>
        </w:rPr>
        <w:t xml:space="preserve">c </w:t>
      </w:r>
      <w:r w:rsidRPr="00FB1008">
        <w:rPr>
          <w:rFonts w:ascii="Times New Roman" w:eastAsia="Calibri" w:hAnsi="Times New Roman" w:cs="Times New Roman"/>
          <w:sz w:val="24"/>
        </w:rPr>
        <w:t xml:space="preserve">речным стоком </w:t>
      </w:r>
      <w:proofErr w:type="spellStart"/>
      <w:r w:rsidRPr="00FB1008">
        <w:rPr>
          <w:rFonts w:ascii="Times New Roman" w:eastAsia="Calibri" w:hAnsi="Times New Roman" w:cs="Times New Roman"/>
          <w:sz w:val="24"/>
        </w:rPr>
        <w:t>закисляющих</w:t>
      </w:r>
      <w:proofErr w:type="spellEnd"/>
      <w:r w:rsidRPr="00FB1008">
        <w:rPr>
          <w:rFonts w:ascii="Times New Roman" w:eastAsia="Calibri" w:hAnsi="Times New Roman" w:cs="Times New Roman"/>
          <w:sz w:val="24"/>
        </w:rPr>
        <w:t xml:space="preserve"> соединений может превышать объемы их поступления с сухими и влажными выпадениями из атмосферы на площадь водосборов. Например, для соединений серы (сульфаты и диоксид серы) такая ситуация показаны в публикациях из Европы, Северной Америки, Японии (</w:t>
      </w:r>
      <w:proofErr w:type="spellStart"/>
      <w:r w:rsidRPr="00FB1008">
        <w:rPr>
          <w:rFonts w:ascii="Times New Roman" w:eastAsia="Calibri" w:hAnsi="Times New Roman" w:cs="Times New Roman"/>
          <w:sz w:val="24"/>
          <w:lang w:val="en-US"/>
        </w:rPr>
        <w:t>Vuorenmaa</w:t>
      </w:r>
      <w:proofErr w:type="spellEnd"/>
      <w:r w:rsidRPr="00FB1008">
        <w:rPr>
          <w:rFonts w:ascii="Times New Roman" w:eastAsia="Calibri" w:hAnsi="Times New Roman" w:cs="Times New Roman"/>
          <w:sz w:val="24"/>
          <w:lang w:val="en-US"/>
        </w:rPr>
        <w:t xml:space="preserve"> et al</w:t>
      </w:r>
      <w:r w:rsidRPr="00FB1008">
        <w:rPr>
          <w:rFonts w:ascii="Times New Roman" w:eastAsia="Calibri" w:hAnsi="Times New Roman" w:cs="Times New Roman"/>
          <w:sz w:val="24"/>
        </w:rPr>
        <w:t xml:space="preserve">., 2017; </w:t>
      </w:r>
      <w:r w:rsidRPr="00FB1008">
        <w:rPr>
          <w:rFonts w:ascii="Times New Roman" w:eastAsia="Calibri" w:hAnsi="Times New Roman" w:cs="Times New Roman"/>
          <w:sz w:val="24"/>
          <w:lang w:val="en-US"/>
        </w:rPr>
        <w:t>Mitchell et al</w:t>
      </w:r>
      <w:r w:rsidRPr="00FB1008">
        <w:rPr>
          <w:rFonts w:ascii="Times New Roman" w:eastAsia="Calibri" w:hAnsi="Times New Roman" w:cs="Times New Roman"/>
          <w:sz w:val="24"/>
        </w:rPr>
        <w:t xml:space="preserve">., 2013; </w:t>
      </w:r>
      <w:proofErr w:type="spellStart"/>
      <w:r w:rsidRPr="00FB1008">
        <w:rPr>
          <w:rFonts w:ascii="Times New Roman" w:eastAsia="Calibri" w:hAnsi="Times New Roman" w:cs="Times New Roman"/>
          <w:sz w:val="24"/>
          <w:lang w:val="en-US"/>
        </w:rPr>
        <w:t>Sase</w:t>
      </w:r>
      <w:proofErr w:type="spellEnd"/>
      <w:r w:rsidRPr="00FB1008">
        <w:rPr>
          <w:rFonts w:ascii="Times New Roman" w:eastAsia="Calibri" w:hAnsi="Times New Roman" w:cs="Times New Roman"/>
          <w:sz w:val="24"/>
          <w:lang w:val="en-US"/>
        </w:rPr>
        <w:t xml:space="preserve"> et al</w:t>
      </w:r>
      <w:r w:rsidRPr="00FB1008">
        <w:rPr>
          <w:rFonts w:ascii="Times New Roman" w:eastAsia="Calibri" w:hAnsi="Times New Roman" w:cs="Times New Roman"/>
          <w:sz w:val="24"/>
        </w:rPr>
        <w:t>., 2019), а также в России (</w:t>
      </w:r>
      <w:proofErr w:type="spellStart"/>
      <w:r w:rsidRPr="00FB1008">
        <w:rPr>
          <w:rFonts w:ascii="Times New Roman" w:eastAsia="Calibri" w:hAnsi="Times New Roman" w:cs="Times New Roman"/>
          <w:sz w:val="24"/>
        </w:rPr>
        <w:t>Zhigacheva</w:t>
      </w:r>
      <w:proofErr w:type="spellEnd"/>
      <w:r w:rsidRPr="00FB1008">
        <w:rPr>
          <w:rFonts w:ascii="Times New Roman" w:eastAsia="Calibri" w:hAnsi="Times New Roman" w:cs="Times New Roman"/>
          <w:sz w:val="24"/>
        </w:rPr>
        <w:t xml:space="preserve"> </w:t>
      </w:r>
      <w:r w:rsidRPr="00FB1008">
        <w:rPr>
          <w:rFonts w:ascii="Times New Roman" w:eastAsia="Calibri" w:hAnsi="Times New Roman" w:cs="Times New Roman"/>
          <w:sz w:val="24"/>
          <w:lang w:val="en-US"/>
        </w:rPr>
        <w:t>et al</w:t>
      </w:r>
      <w:r w:rsidRPr="00FB1008">
        <w:rPr>
          <w:rFonts w:ascii="Times New Roman" w:eastAsia="Calibri" w:hAnsi="Times New Roman" w:cs="Times New Roman"/>
          <w:sz w:val="24"/>
        </w:rPr>
        <w:t xml:space="preserve">., 2022). Обычно такое расхождение наблюдается для экосистем водосборов, находящихся в процессе восстановления после предыдущего этапа избыточных кислотных выпадений, когда </w:t>
      </w:r>
      <w:proofErr w:type="spellStart"/>
      <w:r w:rsidRPr="00FB1008">
        <w:rPr>
          <w:rFonts w:ascii="Times New Roman" w:eastAsia="Calibri" w:hAnsi="Times New Roman" w:cs="Times New Roman"/>
          <w:sz w:val="24"/>
        </w:rPr>
        <w:t>закисляющие</w:t>
      </w:r>
      <w:proofErr w:type="spellEnd"/>
      <w:r w:rsidRPr="00FB1008">
        <w:rPr>
          <w:rFonts w:ascii="Times New Roman" w:eastAsia="Calibri" w:hAnsi="Times New Roman" w:cs="Times New Roman"/>
          <w:sz w:val="24"/>
        </w:rPr>
        <w:t xml:space="preserve"> компоненты мобилизуются из внутренних источников водосбора (почва, горные породы, растительность и пр.) и выносятся с речным стоком.</w:t>
      </w:r>
    </w:p>
    <w:p w14:paraId="5314384C" w14:textId="77777777" w:rsidR="00FB1008" w:rsidRPr="00FB1008" w:rsidRDefault="00FB1008" w:rsidP="00216F0C">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 xml:space="preserve">Как результат избыточного выноса, поверхностные воды оказываются подвергнутыми процессу дополнительного закисления даже в условиях снижения уровней выбросов и выпадений </w:t>
      </w:r>
      <w:proofErr w:type="spellStart"/>
      <w:r w:rsidRPr="00FB1008">
        <w:rPr>
          <w:rFonts w:ascii="Times New Roman" w:eastAsia="Calibri" w:hAnsi="Times New Roman" w:cs="Times New Roman"/>
          <w:sz w:val="24"/>
        </w:rPr>
        <w:t>закисляющих</w:t>
      </w:r>
      <w:proofErr w:type="spellEnd"/>
      <w:r w:rsidRPr="00FB1008">
        <w:rPr>
          <w:rFonts w:ascii="Times New Roman" w:eastAsia="Calibri" w:hAnsi="Times New Roman" w:cs="Times New Roman"/>
          <w:sz w:val="24"/>
        </w:rPr>
        <w:t xml:space="preserve"> веществ на территории. Процессам мобилизации и выщелачивания </w:t>
      </w:r>
      <w:r w:rsidRPr="00FB1008">
        <w:rPr>
          <w:rFonts w:ascii="Times New Roman" w:eastAsia="Calibri" w:hAnsi="Times New Roman" w:cs="Times New Roman"/>
          <w:sz w:val="24"/>
        </w:rPr>
        <w:lastRenderedPageBreak/>
        <w:t>также может подвергаться азот. Для территорий Восточной Азии азот (особенно в форме нитратов) играет даже более важную роль, чем сульфаты. При этом соединения азота могут не снижать рН поверхностных вод, но приводить к еще одному последствию кислотных выпадений – эвтрофикации водоемов.</w:t>
      </w:r>
    </w:p>
    <w:p w14:paraId="49C09932" w14:textId="77777777" w:rsidR="00FB1008" w:rsidRPr="00FB1008" w:rsidRDefault="00FB1008" w:rsidP="00216F0C">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 xml:space="preserve">В Азиатской части России, по программе Сети кислотных выпадений в Восточной Азии (ЕАНЕТ) ведется мониторинг химического состояния двух рек, находящихся в разных географических и климатических условиях: реки </w:t>
      </w:r>
      <w:proofErr w:type="spellStart"/>
      <w:r w:rsidRPr="00FB1008">
        <w:rPr>
          <w:rFonts w:ascii="Times New Roman" w:eastAsia="Calibri" w:hAnsi="Times New Roman" w:cs="Times New Roman"/>
          <w:sz w:val="24"/>
        </w:rPr>
        <w:t>Переемная</w:t>
      </w:r>
      <w:proofErr w:type="spellEnd"/>
      <w:r w:rsidRPr="00FB1008">
        <w:rPr>
          <w:rFonts w:ascii="Times New Roman" w:eastAsia="Calibri" w:hAnsi="Times New Roman" w:cs="Times New Roman"/>
          <w:sz w:val="24"/>
        </w:rPr>
        <w:t xml:space="preserve"> (ПРМ), притока озера Байкал в Восточной Сибири и реки Комаровки (КМР) в Приморском крае Дальнего Востока.</w:t>
      </w:r>
    </w:p>
    <w:p w14:paraId="7CC1E7FB" w14:textId="77777777" w:rsidR="00FB1008" w:rsidRPr="00FB1008" w:rsidRDefault="00FB1008" w:rsidP="00216F0C">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Отбор проб для химического анализа проводится четыре (ПРМ) или пять (КМР) раз в год в соответствии с основными фазами гидрологических режимов. Для каждого из случая отборов, в лабораториях Лимнологического института РАН, г. Иркутск и Приморского Центра мониторинга загрязнения окружающей среды, г. Владивосток проводят химические анализы на рН, электропроводность, концентрацию основных ионов и ряд сопутствующих параметров.</w:t>
      </w:r>
    </w:p>
    <w:p w14:paraId="35ED79B3" w14:textId="77777777" w:rsidR="00FB1008" w:rsidRPr="00FB1008" w:rsidRDefault="00FB1008" w:rsidP="00216F0C">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Чтобы определить, насколько поверхностные воды отражают загрязнение сухих и влажных выпадений, а какая часть загрязняющих веществ была вымыта с водосбора, необходимо проводить сравнение объемов входящих и выходящих потоков (т.н. материальный баланс веществ). Одним из составляющих компонентов данного баланса является русловой сток загрязняющих веществ. Вынос веществ с поверхностными водами рассчитывается как (1):</w:t>
      </w:r>
    </w:p>
    <w:p w14:paraId="7262A90F" w14:textId="77777777" w:rsidR="00FB1008" w:rsidRPr="00FB1008" w:rsidRDefault="00FB1008" w:rsidP="00FB1008">
      <w:pPr>
        <w:spacing w:after="0" w:line="360" w:lineRule="auto"/>
        <w:ind w:firstLine="567"/>
        <w:jc w:val="both"/>
        <w:rPr>
          <w:rFonts w:ascii="Times New Roman" w:eastAsia="Calibri" w:hAnsi="Times New Roman" w:cs="Times New Roman"/>
          <w:i/>
          <w:sz w:val="24"/>
        </w:rPr>
      </w:pPr>
      <m:oMathPara>
        <m:oMath>
          <m:r>
            <w:rPr>
              <w:rFonts w:ascii="Cambria Math" w:eastAsia="Calibri" w:hAnsi="Cambria Math" w:cs="Times New Roman"/>
              <w:sz w:val="24"/>
              <w:lang w:val="en-US"/>
            </w:rPr>
            <m:t>F=Q*C* t,</m:t>
          </m:r>
          <m:r>
            <w:rPr>
              <w:rFonts w:ascii="Cambria Math" w:eastAsia="Calibri" w:hAnsi="Cambria Math" w:cs="Times New Roman"/>
              <w:sz w:val="24"/>
            </w:rPr>
            <m:t xml:space="preserve"> (1)</m:t>
          </m:r>
        </m:oMath>
      </m:oMathPara>
    </w:p>
    <w:p w14:paraId="4DFC86E8" w14:textId="77777777" w:rsidR="00FB1008" w:rsidRPr="00FB1008" w:rsidRDefault="00FB1008" w:rsidP="00FB1008">
      <w:pPr>
        <w:spacing w:after="0" w:line="360" w:lineRule="auto"/>
        <w:jc w:val="both"/>
        <w:rPr>
          <w:rFonts w:ascii="Times New Roman" w:eastAsia="Calibri" w:hAnsi="Times New Roman" w:cs="Times New Roman"/>
          <w:sz w:val="24"/>
        </w:rPr>
      </w:pPr>
      <w:r w:rsidRPr="00FB1008">
        <w:rPr>
          <w:rFonts w:ascii="Times New Roman" w:eastAsia="Calibri" w:hAnsi="Times New Roman" w:cs="Times New Roman"/>
          <w:sz w:val="24"/>
        </w:rPr>
        <w:t xml:space="preserve">где </w:t>
      </w:r>
      <w:r w:rsidRPr="00FB1008">
        <w:rPr>
          <w:rFonts w:ascii="Times New Roman" w:eastAsia="Calibri" w:hAnsi="Times New Roman" w:cs="Times New Roman"/>
          <w:bCs/>
          <w:i/>
          <w:iCs/>
          <w:sz w:val="24"/>
          <w:lang w:val="en-US"/>
        </w:rPr>
        <w:t>F</w:t>
      </w:r>
      <w:r w:rsidRPr="00FB1008">
        <w:rPr>
          <w:rFonts w:ascii="Times New Roman" w:eastAsia="Calibri" w:hAnsi="Times New Roman" w:cs="Times New Roman"/>
          <w:sz w:val="24"/>
          <w:lang w:val="en-US"/>
        </w:rPr>
        <w:t xml:space="preserve"> </w:t>
      </w:r>
      <w:r w:rsidRPr="00FB1008">
        <w:rPr>
          <w:rFonts w:ascii="Times New Roman" w:eastAsia="Calibri" w:hAnsi="Times New Roman" w:cs="Times New Roman"/>
          <w:sz w:val="24"/>
        </w:rPr>
        <w:t xml:space="preserve">– поток выноса вещества; </w:t>
      </w:r>
      <w:r w:rsidRPr="00FB1008">
        <w:rPr>
          <w:rFonts w:ascii="Times New Roman" w:eastAsia="Calibri" w:hAnsi="Times New Roman" w:cs="Times New Roman"/>
          <w:bCs/>
          <w:i/>
          <w:iCs/>
          <w:sz w:val="24"/>
          <w:lang w:val="en-US"/>
        </w:rPr>
        <w:t>Q</w:t>
      </w:r>
      <w:r w:rsidRPr="00FB1008">
        <w:rPr>
          <w:rFonts w:ascii="Times New Roman" w:eastAsia="Calibri" w:hAnsi="Times New Roman" w:cs="Times New Roman"/>
          <w:sz w:val="24"/>
          <w:lang w:val="en-US"/>
        </w:rPr>
        <w:t xml:space="preserve"> </w:t>
      </w:r>
      <w:r w:rsidRPr="00FB1008">
        <w:rPr>
          <w:rFonts w:ascii="Times New Roman" w:eastAsia="Calibri" w:hAnsi="Times New Roman" w:cs="Times New Roman"/>
          <w:sz w:val="24"/>
        </w:rPr>
        <w:t xml:space="preserve">– расход поверхностных вол; </w:t>
      </w:r>
      <w:r w:rsidRPr="00FB1008">
        <w:rPr>
          <w:rFonts w:ascii="Times New Roman" w:eastAsia="Calibri" w:hAnsi="Times New Roman" w:cs="Times New Roman"/>
          <w:bCs/>
          <w:i/>
          <w:iCs/>
          <w:sz w:val="24"/>
          <w:lang w:val="en-US"/>
        </w:rPr>
        <w:t>C</w:t>
      </w:r>
      <w:r w:rsidRPr="00FB1008">
        <w:rPr>
          <w:rFonts w:ascii="Times New Roman" w:eastAsia="Calibri" w:hAnsi="Times New Roman" w:cs="Times New Roman"/>
          <w:sz w:val="24"/>
        </w:rPr>
        <w:t xml:space="preserve"> – концентрация изучаемого вещества; </w:t>
      </w:r>
      <w:r w:rsidRPr="00FB1008">
        <w:rPr>
          <w:rFonts w:ascii="Times New Roman" w:eastAsia="Calibri" w:hAnsi="Times New Roman" w:cs="Times New Roman"/>
          <w:bCs/>
          <w:i/>
          <w:iCs/>
          <w:sz w:val="24"/>
          <w:lang w:val="en-US"/>
        </w:rPr>
        <w:t xml:space="preserve">t </w:t>
      </w:r>
      <w:r w:rsidRPr="00FB1008">
        <w:rPr>
          <w:rFonts w:ascii="Times New Roman" w:eastAsia="Calibri" w:hAnsi="Times New Roman" w:cs="Times New Roman"/>
          <w:sz w:val="24"/>
        </w:rPr>
        <w:t>– период расчета.</w:t>
      </w:r>
    </w:p>
    <w:p w14:paraId="6BD03FD4" w14:textId="77777777" w:rsidR="00FB1008" w:rsidRPr="00FB1008" w:rsidRDefault="00FB1008" w:rsidP="003B255A">
      <w:pPr>
        <w:spacing w:after="0" w:line="360" w:lineRule="auto"/>
        <w:ind w:firstLine="720"/>
        <w:jc w:val="both"/>
        <w:rPr>
          <w:rFonts w:ascii="Times New Roman" w:eastAsia="Calibri" w:hAnsi="Times New Roman" w:cs="Times New Roman"/>
          <w:sz w:val="24"/>
        </w:rPr>
      </w:pPr>
      <w:r w:rsidRPr="00FB1008">
        <w:rPr>
          <w:rFonts w:ascii="Times New Roman" w:eastAsia="Calibri" w:hAnsi="Times New Roman" w:cs="Times New Roman"/>
          <w:sz w:val="24"/>
        </w:rPr>
        <w:t>Одним из стандартных методов решения вопроса заполнения данных между периодами пробоотборов является т. н. метод интерполяции (или интервал-репрезентативный метод), когда значения выносов и концентраций веществ принимаются как средние между периодами отбора (</w:t>
      </w:r>
      <w:proofErr w:type="spellStart"/>
      <w:r w:rsidRPr="00FB1008">
        <w:rPr>
          <w:rFonts w:ascii="Times New Roman" w:eastAsia="Calibri" w:hAnsi="Times New Roman" w:cs="Times New Roman"/>
          <w:sz w:val="24"/>
        </w:rPr>
        <w:t>Likens</w:t>
      </w:r>
      <w:proofErr w:type="spellEnd"/>
      <w:r w:rsidRPr="00FB1008">
        <w:rPr>
          <w:rFonts w:ascii="Times New Roman" w:eastAsia="Calibri" w:hAnsi="Times New Roman" w:cs="Times New Roman"/>
          <w:sz w:val="24"/>
        </w:rPr>
        <w:t xml:space="preserve">, </w:t>
      </w:r>
      <w:proofErr w:type="spellStart"/>
      <w:r w:rsidRPr="00FB1008">
        <w:rPr>
          <w:rFonts w:ascii="Times New Roman" w:eastAsia="Calibri" w:hAnsi="Times New Roman" w:cs="Times New Roman"/>
          <w:sz w:val="24"/>
        </w:rPr>
        <w:t>Bormann</w:t>
      </w:r>
      <w:proofErr w:type="spellEnd"/>
      <w:r w:rsidRPr="00FB1008">
        <w:rPr>
          <w:rFonts w:ascii="Times New Roman" w:eastAsia="Calibri" w:hAnsi="Times New Roman" w:cs="Times New Roman"/>
          <w:sz w:val="24"/>
        </w:rPr>
        <w:t xml:space="preserve">, 1995). Но данный метод будет вносить тем большую ошибку, чем больше времени проходит между пробоотборами. В случае р. Комаровка и р. </w:t>
      </w:r>
      <w:proofErr w:type="spellStart"/>
      <w:r w:rsidRPr="00FB1008">
        <w:rPr>
          <w:rFonts w:ascii="Times New Roman" w:eastAsia="Calibri" w:hAnsi="Times New Roman" w:cs="Times New Roman"/>
          <w:sz w:val="24"/>
        </w:rPr>
        <w:t>Переемная</w:t>
      </w:r>
      <w:proofErr w:type="spellEnd"/>
      <w:r w:rsidRPr="00FB1008">
        <w:rPr>
          <w:rFonts w:ascii="Times New Roman" w:eastAsia="Calibri" w:hAnsi="Times New Roman" w:cs="Times New Roman"/>
          <w:sz w:val="24"/>
        </w:rPr>
        <w:t xml:space="preserve">, где отборы проб проводятся 5 и 4 раза в год, соответственно, ошибка определения будет особо заметна. </w:t>
      </w:r>
    </w:p>
    <w:p w14:paraId="2F2DA825" w14:textId="77777777" w:rsidR="00FB1008" w:rsidRPr="00FB1008" w:rsidRDefault="00FB1008" w:rsidP="003B255A">
      <w:pPr>
        <w:spacing w:after="0" w:line="360" w:lineRule="auto"/>
        <w:ind w:firstLine="720"/>
        <w:jc w:val="both"/>
        <w:rPr>
          <w:rFonts w:ascii="Times New Roman" w:eastAsia="Calibri" w:hAnsi="Times New Roman" w:cs="Times New Roman"/>
          <w:sz w:val="24"/>
        </w:rPr>
      </w:pPr>
      <w:r w:rsidRPr="00FB1008">
        <w:rPr>
          <w:rFonts w:ascii="Times New Roman" w:eastAsia="Calibri" w:hAnsi="Times New Roman" w:cs="Times New Roman"/>
          <w:sz w:val="24"/>
        </w:rPr>
        <w:t xml:space="preserve">Другой возможный метод – построение графика и уравнений зависимости концентраций веществ от значений расходов воды и дальнейшее их применения на ежедневные данные расходов, представленный в литературе как </w:t>
      </w:r>
      <w:r w:rsidRPr="00FB1008">
        <w:rPr>
          <w:rFonts w:ascii="Times New Roman" w:eastAsia="Calibri" w:hAnsi="Times New Roman" w:cs="Times New Roman"/>
          <w:sz w:val="24"/>
          <w:lang w:val="en-US"/>
        </w:rPr>
        <w:t>L</w:t>
      </w:r>
      <w:r w:rsidRPr="00FB1008">
        <w:rPr>
          <w:rFonts w:ascii="Times New Roman" w:eastAsia="Calibri" w:hAnsi="Times New Roman" w:cs="Times New Roman"/>
          <w:sz w:val="24"/>
        </w:rPr>
        <w:t>-</w:t>
      </w:r>
      <w:r w:rsidRPr="00FB1008">
        <w:rPr>
          <w:rFonts w:ascii="Times New Roman" w:eastAsia="Calibri" w:hAnsi="Times New Roman" w:cs="Times New Roman"/>
          <w:sz w:val="24"/>
          <w:lang w:val="en-US"/>
        </w:rPr>
        <w:t xml:space="preserve">Q </w:t>
      </w:r>
      <w:r w:rsidRPr="00FB1008">
        <w:rPr>
          <w:rFonts w:ascii="Times New Roman" w:eastAsia="Calibri" w:hAnsi="Times New Roman" w:cs="Times New Roman"/>
          <w:sz w:val="24"/>
        </w:rPr>
        <w:t>метод (</w:t>
      </w:r>
      <w:proofErr w:type="spellStart"/>
      <w:r w:rsidRPr="00FB1008">
        <w:rPr>
          <w:rFonts w:ascii="Times New Roman" w:eastAsia="Calibri" w:hAnsi="Times New Roman" w:cs="Times New Roman"/>
          <w:sz w:val="24"/>
        </w:rPr>
        <w:t>Ide</w:t>
      </w:r>
      <w:proofErr w:type="spellEnd"/>
      <w:r w:rsidRPr="00FB1008">
        <w:rPr>
          <w:rFonts w:ascii="Times New Roman" w:eastAsia="Calibri" w:hAnsi="Times New Roman" w:cs="Times New Roman"/>
          <w:sz w:val="24"/>
        </w:rPr>
        <w:t xml:space="preserve"> </w:t>
      </w:r>
      <w:r w:rsidRPr="00FB1008">
        <w:rPr>
          <w:rFonts w:ascii="Times New Roman" w:eastAsia="Calibri" w:hAnsi="Times New Roman" w:cs="Times New Roman"/>
          <w:sz w:val="24"/>
          <w:lang w:val="en-US"/>
        </w:rPr>
        <w:t>et al</w:t>
      </w:r>
      <w:r w:rsidRPr="00FB1008">
        <w:rPr>
          <w:rFonts w:ascii="Times New Roman" w:eastAsia="Calibri" w:hAnsi="Times New Roman" w:cs="Times New Roman"/>
          <w:sz w:val="24"/>
        </w:rPr>
        <w:t>, 2007).</w:t>
      </w:r>
    </w:p>
    <w:p w14:paraId="05985E4C" w14:textId="77777777" w:rsidR="00FB1008" w:rsidRPr="00FB1008" w:rsidRDefault="00FB1008" w:rsidP="003B255A">
      <w:pPr>
        <w:spacing w:after="0" w:line="360" w:lineRule="auto"/>
        <w:ind w:firstLine="720"/>
        <w:jc w:val="both"/>
        <w:rPr>
          <w:rFonts w:ascii="Times New Roman" w:eastAsia="Calibri" w:hAnsi="Times New Roman" w:cs="Times New Roman"/>
          <w:sz w:val="24"/>
        </w:rPr>
      </w:pPr>
      <w:r w:rsidRPr="00FB1008">
        <w:rPr>
          <w:rFonts w:ascii="Times New Roman" w:eastAsia="Calibri" w:hAnsi="Times New Roman" w:cs="Times New Roman"/>
          <w:sz w:val="24"/>
          <w:lang w:val="en-US"/>
        </w:rPr>
        <w:t>L</w:t>
      </w:r>
      <w:r w:rsidRPr="00FB1008">
        <w:rPr>
          <w:rFonts w:ascii="Times New Roman" w:eastAsia="Calibri" w:hAnsi="Times New Roman" w:cs="Times New Roman"/>
          <w:sz w:val="24"/>
        </w:rPr>
        <w:t>-</w:t>
      </w:r>
      <w:r w:rsidRPr="00FB1008">
        <w:rPr>
          <w:rFonts w:ascii="Times New Roman" w:eastAsia="Calibri" w:hAnsi="Times New Roman" w:cs="Times New Roman"/>
          <w:sz w:val="24"/>
          <w:lang w:val="en-US"/>
        </w:rPr>
        <w:t xml:space="preserve">Q </w:t>
      </w:r>
      <w:r w:rsidRPr="00FB1008">
        <w:rPr>
          <w:rFonts w:ascii="Times New Roman" w:eastAsia="Calibri" w:hAnsi="Times New Roman" w:cs="Times New Roman"/>
          <w:sz w:val="24"/>
        </w:rPr>
        <w:t>метод для расчетов по КМР был использован для годов, для которых имелись данные по ежедневным расходам, полученные с гидропоста «Центральный» (Приморский край), расположенного в нескольких метрах ниже по течению от точки отбора.</w:t>
      </w:r>
    </w:p>
    <w:p w14:paraId="41664EB2" w14:textId="77777777" w:rsidR="00FB1008" w:rsidRPr="00FB1008" w:rsidRDefault="00FB1008" w:rsidP="003B255A">
      <w:pPr>
        <w:spacing w:after="0" w:line="360" w:lineRule="auto"/>
        <w:ind w:firstLine="720"/>
        <w:jc w:val="both"/>
        <w:rPr>
          <w:rFonts w:ascii="Times New Roman" w:eastAsia="Calibri" w:hAnsi="Times New Roman" w:cs="Times New Roman"/>
          <w:sz w:val="24"/>
        </w:rPr>
      </w:pPr>
      <w:r w:rsidRPr="00FB1008">
        <w:rPr>
          <w:rFonts w:ascii="Times New Roman" w:eastAsia="Calibri" w:hAnsi="Times New Roman" w:cs="Times New Roman"/>
          <w:sz w:val="24"/>
        </w:rPr>
        <w:lastRenderedPageBreak/>
        <w:t>Уравнение, полученное из данных наблюдений, для расчета выносов для веществ имеет форму (2)</w:t>
      </w:r>
      <w:r w:rsidRPr="00FB1008">
        <w:rPr>
          <w:rFonts w:ascii="Times New Roman" w:eastAsia="Calibri" w:hAnsi="Times New Roman" w:cs="Times New Roman"/>
          <w:color w:val="000000"/>
          <w:sz w:val="24"/>
        </w:rPr>
        <w:t xml:space="preserve"> </w:t>
      </w:r>
      <w:r w:rsidRPr="00FB1008">
        <w:rPr>
          <w:rFonts w:ascii="Times New Roman" w:eastAsia="Calibri" w:hAnsi="Times New Roman" w:cs="Times New Roman"/>
          <w:sz w:val="24"/>
        </w:rPr>
        <w:t>(</w:t>
      </w:r>
      <w:proofErr w:type="spellStart"/>
      <w:r w:rsidRPr="00FB1008">
        <w:rPr>
          <w:rFonts w:ascii="Times New Roman" w:eastAsia="Calibri" w:hAnsi="Times New Roman" w:cs="Times New Roman"/>
          <w:sz w:val="24"/>
        </w:rPr>
        <w:t>Ide</w:t>
      </w:r>
      <w:proofErr w:type="spellEnd"/>
      <w:r w:rsidRPr="00FB1008">
        <w:rPr>
          <w:rFonts w:ascii="Times New Roman" w:eastAsia="Calibri" w:hAnsi="Times New Roman" w:cs="Times New Roman"/>
          <w:sz w:val="24"/>
        </w:rPr>
        <w:t xml:space="preserve"> </w:t>
      </w:r>
      <w:r w:rsidRPr="00FB1008">
        <w:rPr>
          <w:rFonts w:ascii="Times New Roman" w:eastAsia="Calibri" w:hAnsi="Times New Roman" w:cs="Times New Roman"/>
          <w:sz w:val="24"/>
          <w:lang w:val="en-US"/>
        </w:rPr>
        <w:t>et al</w:t>
      </w:r>
      <w:r w:rsidRPr="00FB1008">
        <w:rPr>
          <w:rFonts w:ascii="Times New Roman" w:eastAsia="Calibri" w:hAnsi="Times New Roman" w:cs="Times New Roman"/>
          <w:sz w:val="24"/>
        </w:rPr>
        <w:t>., 2007):</w:t>
      </w:r>
    </w:p>
    <w:p w14:paraId="0CE5C847" w14:textId="77777777" w:rsidR="00FB1008" w:rsidRPr="00FB1008" w:rsidRDefault="00FB1008" w:rsidP="00FB1008">
      <w:pPr>
        <w:spacing w:after="0" w:line="360" w:lineRule="auto"/>
        <w:ind w:firstLine="567"/>
        <w:jc w:val="center"/>
        <w:rPr>
          <w:rFonts w:ascii="Times New Roman" w:eastAsia="Calibri" w:hAnsi="Times New Roman" w:cs="Times New Roman"/>
          <w:color w:val="000000"/>
          <w:sz w:val="24"/>
        </w:rPr>
      </w:pPr>
      <w:r w:rsidRPr="00FB1008">
        <w:rPr>
          <w:rFonts w:ascii="Times New Roman" w:eastAsia="Calibri" w:hAnsi="Times New Roman" w:cs="Times New Roman"/>
          <w:i/>
          <w:iCs/>
          <w:color w:val="000000"/>
          <w:sz w:val="24"/>
          <w:lang w:val="en-US"/>
        </w:rPr>
        <w:t>L</w:t>
      </w:r>
      <w:r w:rsidRPr="00FB1008">
        <w:rPr>
          <w:rFonts w:ascii="Times New Roman" w:eastAsia="Calibri" w:hAnsi="Times New Roman" w:cs="Times New Roman"/>
          <w:i/>
          <w:iCs/>
          <w:color w:val="000000"/>
          <w:sz w:val="24"/>
        </w:rPr>
        <w:t xml:space="preserve"> = </w:t>
      </w:r>
      <w:proofErr w:type="spellStart"/>
      <w:r w:rsidRPr="00FB1008">
        <w:rPr>
          <w:rFonts w:ascii="Times New Roman" w:eastAsia="Calibri" w:hAnsi="Times New Roman" w:cs="Times New Roman"/>
          <w:i/>
          <w:iCs/>
          <w:color w:val="000000"/>
          <w:sz w:val="24"/>
          <w:lang w:val="en-US"/>
        </w:rPr>
        <w:t>aQ</w:t>
      </w:r>
      <w:r w:rsidRPr="00FB1008">
        <w:rPr>
          <w:rFonts w:ascii="Times New Roman" w:eastAsia="Calibri" w:hAnsi="Times New Roman" w:cs="Times New Roman"/>
          <w:i/>
          <w:iCs/>
          <w:color w:val="000000"/>
          <w:sz w:val="24"/>
          <w:vertAlign w:val="superscript"/>
          <w:lang w:val="en-US"/>
        </w:rPr>
        <w:t>b</w:t>
      </w:r>
      <w:proofErr w:type="spellEnd"/>
      <w:r w:rsidRPr="00FB1008">
        <w:rPr>
          <w:rFonts w:ascii="Times New Roman" w:eastAsia="Calibri" w:hAnsi="Times New Roman" w:cs="Times New Roman"/>
          <w:color w:val="000000"/>
          <w:sz w:val="24"/>
        </w:rPr>
        <w:t xml:space="preserve"> (2)</w:t>
      </w:r>
    </w:p>
    <w:p w14:paraId="6640F573" w14:textId="77777777" w:rsidR="00FB1008" w:rsidRPr="00FB1008" w:rsidRDefault="00FB1008" w:rsidP="00FB1008">
      <w:pPr>
        <w:spacing w:after="0" w:line="360" w:lineRule="auto"/>
        <w:jc w:val="both"/>
        <w:rPr>
          <w:rFonts w:ascii="Times New Roman" w:eastAsia="Calibri" w:hAnsi="Times New Roman" w:cs="Times New Roman"/>
          <w:color w:val="000000"/>
          <w:sz w:val="24"/>
        </w:rPr>
      </w:pPr>
      <w:r w:rsidRPr="00FB1008">
        <w:rPr>
          <w:rFonts w:ascii="Times New Roman" w:eastAsia="Calibri" w:hAnsi="Times New Roman" w:cs="Times New Roman"/>
          <w:color w:val="000000"/>
          <w:sz w:val="24"/>
        </w:rPr>
        <w:t xml:space="preserve">где </w:t>
      </w:r>
      <w:r w:rsidRPr="00FB1008">
        <w:rPr>
          <w:rFonts w:ascii="Times New Roman" w:eastAsia="Calibri" w:hAnsi="Times New Roman" w:cs="Times New Roman"/>
          <w:i/>
          <w:color w:val="000000"/>
          <w:sz w:val="24"/>
          <w:lang w:val="en-US"/>
        </w:rPr>
        <w:t>L</w:t>
      </w:r>
      <w:r w:rsidRPr="00FB1008">
        <w:rPr>
          <w:rFonts w:ascii="Times New Roman" w:eastAsia="Calibri" w:hAnsi="Times New Roman" w:cs="Times New Roman"/>
          <w:color w:val="000000"/>
          <w:sz w:val="24"/>
        </w:rPr>
        <w:t xml:space="preserve"> – поток выноса;</w:t>
      </w:r>
      <w:r w:rsidRPr="00FB1008">
        <w:rPr>
          <w:rFonts w:ascii="Times New Roman" w:eastAsia="Calibri" w:hAnsi="Times New Roman" w:cs="Times New Roman"/>
          <w:i/>
          <w:color w:val="000000"/>
          <w:sz w:val="24"/>
        </w:rPr>
        <w:t xml:space="preserve"> </w:t>
      </w:r>
      <w:r w:rsidRPr="00FB1008">
        <w:rPr>
          <w:rFonts w:ascii="Times New Roman" w:eastAsia="Calibri" w:hAnsi="Times New Roman" w:cs="Times New Roman"/>
          <w:i/>
          <w:color w:val="000000"/>
          <w:sz w:val="24"/>
          <w:lang w:val="en-US"/>
        </w:rPr>
        <w:t>Q</w:t>
      </w:r>
      <w:r w:rsidRPr="00FB1008">
        <w:rPr>
          <w:rFonts w:ascii="Times New Roman" w:eastAsia="Calibri" w:hAnsi="Times New Roman" w:cs="Times New Roman"/>
          <w:color w:val="000000"/>
          <w:sz w:val="24"/>
        </w:rPr>
        <w:t xml:space="preserve"> – значение дневного расхода воды; </w:t>
      </w:r>
      <w:r w:rsidRPr="00FB1008">
        <w:rPr>
          <w:rFonts w:ascii="Times New Roman" w:eastAsia="Calibri" w:hAnsi="Times New Roman" w:cs="Times New Roman"/>
          <w:i/>
          <w:color w:val="000000"/>
          <w:sz w:val="24"/>
          <w:lang w:val="en-US"/>
        </w:rPr>
        <w:t>a</w:t>
      </w:r>
      <w:r w:rsidRPr="00FB1008">
        <w:rPr>
          <w:rFonts w:ascii="Times New Roman" w:eastAsia="Calibri" w:hAnsi="Times New Roman" w:cs="Times New Roman"/>
          <w:color w:val="000000"/>
          <w:sz w:val="24"/>
        </w:rPr>
        <w:t xml:space="preserve">, </w:t>
      </w:r>
      <w:r w:rsidRPr="00FB1008">
        <w:rPr>
          <w:rFonts w:ascii="Times New Roman" w:eastAsia="Calibri" w:hAnsi="Times New Roman" w:cs="Times New Roman"/>
          <w:i/>
          <w:color w:val="000000"/>
          <w:sz w:val="24"/>
          <w:lang w:val="en-US"/>
        </w:rPr>
        <w:t>b</w:t>
      </w:r>
      <w:r w:rsidRPr="00FB1008">
        <w:rPr>
          <w:rFonts w:ascii="Times New Roman" w:eastAsia="Calibri" w:hAnsi="Times New Roman" w:cs="Times New Roman"/>
          <w:color w:val="000000"/>
          <w:sz w:val="24"/>
        </w:rPr>
        <w:t xml:space="preserve"> – рассчитанные коэффициенты (при помощи экспоненциальной регрессии в </w:t>
      </w:r>
      <w:r w:rsidRPr="00FB1008">
        <w:rPr>
          <w:rFonts w:ascii="Times New Roman" w:eastAsia="Calibri" w:hAnsi="Times New Roman" w:cs="Times New Roman"/>
          <w:color w:val="000000"/>
          <w:sz w:val="24"/>
          <w:lang w:val="en-US"/>
        </w:rPr>
        <w:t>MS Excel</w:t>
      </w:r>
      <w:r w:rsidRPr="00FB1008">
        <w:rPr>
          <w:rFonts w:ascii="Times New Roman" w:eastAsia="Calibri" w:hAnsi="Times New Roman" w:cs="Times New Roman"/>
          <w:color w:val="000000"/>
          <w:sz w:val="24"/>
        </w:rPr>
        <w:t xml:space="preserve">). </w:t>
      </w:r>
    </w:p>
    <w:p w14:paraId="65153CAE" w14:textId="77777777" w:rsidR="00FB1008" w:rsidRPr="00FB1008" w:rsidRDefault="00FB1008" w:rsidP="003B255A">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 xml:space="preserve">При расчетах для Комаровки значимой разницы между рядами значений, полученных двумя методами, не получено. Тем не менее, значения, получаемые при применении </w:t>
      </w:r>
      <w:r w:rsidRPr="00FB1008">
        <w:rPr>
          <w:rFonts w:ascii="Times New Roman" w:eastAsia="Calibri" w:hAnsi="Times New Roman" w:cs="Times New Roman"/>
          <w:sz w:val="24"/>
          <w:lang w:val="en-US"/>
        </w:rPr>
        <w:t>L</w:t>
      </w:r>
      <w:r w:rsidRPr="00FB1008">
        <w:rPr>
          <w:rFonts w:ascii="Times New Roman" w:eastAsia="Calibri" w:hAnsi="Times New Roman" w:cs="Times New Roman"/>
          <w:sz w:val="24"/>
        </w:rPr>
        <w:t>-</w:t>
      </w:r>
      <w:r w:rsidRPr="00FB1008">
        <w:rPr>
          <w:rFonts w:ascii="Times New Roman" w:eastAsia="Calibri" w:hAnsi="Times New Roman" w:cs="Times New Roman"/>
          <w:sz w:val="24"/>
          <w:lang w:val="en-US"/>
        </w:rPr>
        <w:t xml:space="preserve">Q </w:t>
      </w:r>
      <w:r w:rsidRPr="00FB1008">
        <w:rPr>
          <w:rFonts w:ascii="Times New Roman" w:eastAsia="Calibri" w:hAnsi="Times New Roman" w:cs="Times New Roman"/>
          <w:sz w:val="24"/>
        </w:rPr>
        <w:t xml:space="preserve">метода, для большинства лет были ниже, чем для метода интерполяции (рис. </w:t>
      </w:r>
      <w:r w:rsidR="00CB7003">
        <w:rPr>
          <w:rFonts w:ascii="Times New Roman" w:eastAsia="Calibri" w:hAnsi="Times New Roman" w:cs="Times New Roman"/>
          <w:sz w:val="24"/>
        </w:rPr>
        <w:t>1</w:t>
      </w:r>
      <w:r w:rsidRPr="00FB1008">
        <w:rPr>
          <w:rFonts w:ascii="Times New Roman" w:eastAsia="Calibri" w:hAnsi="Times New Roman" w:cs="Times New Roman"/>
          <w:sz w:val="24"/>
        </w:rPr>
        <w:t>).</w:t>
      </w:r>
    </w:p>
    <w:p w14:paraId="7AC5BB5F" w14:textId="77777777" w:rsidR="00FB1008" w:rsidRPr="00FB1008" w:rsidRDefault="00FB1008" w:rsidP="00FB1008">
      <w:pPr>
        <w:spacing w:after="0" w:line="360" w:lineRule="auto"/>
        <w:ind w:firstLine="567"/>
        <w:jc w:val="both"/>
        <w:rPr>
          <w:rFonts w:ascii="Times New Roman" w:eastAsia="Calibri" w:hAnsi="Times New Roman" w:cs="Times New Roman"/>
          <w:sz w:val="24"/>
        </w:rPr>
      </w:pPr>
    </w:p>
    <w:p w14:paraId="0EB21564" w14:textId="77777777" w:rsidR="00FB1008" w:rsidRPr="00FB1008" w:rsidRDefault="00FB1008" w:rsidP="00FB1008">
      <w:pPr>
        <w:spacing w:after="0" w:line="360" w:lineRule="auto"/>
        <w:ind w:firstLine="567"/>
        <w:jc w:val="center"/>
        <w:rPr>
          <w:rFonts w:ascii="Times New Roman" w:eastAsia="Calibri" w:hAnsi="Times New Roman" w:cs="Times New Roman"/>
          <w:sz w:val="24"/>
          <w:lang w:val="en-US"/>
        </w:rPr>
      </w:pPr>
      <w:r w:rsidRPr="00FB1008">
        <w:rPr>
          <w:rFonts w:ascii="Times New Roman" w:eastAsia="Calibri" w:hAnsi="Times New Roman" w:cs="Times New Roman"/>
          <w:noProof/>
          <w:kern w:val="2"/>
          <w:lang w:eastAsia="ru-RU"/>
          <w14:ligatures w14:val="standardContextual"/>
        </w:rPr>
        <w:drawing>
          <wp:inline distT="0" distB="0" distL="0" distR="0" wp14:anchorId="70B333F9" wp14:editId="25DDB98A">
            <wp:extent cx="4846320" cy="2346960"/>
            <wp:effectExtent l="0" t="0" r="11430" b="15240"/>
            <wp:docPr id="5" name="Chart 28">
              <a:extLst xmlns:a="http://schemas.openxmlformats.org/drawingml/2006/main">
                <a:ext uri="{FF2B5EF4-FFF2-40B4-BE49-F238E27FC236}">
                  <a16:creationId xmlns:a16="http://schemas.microsoft.com/office/drawing/2014/main" id="{83E45DED-20A7-4A6C-B746-3F8F5F5C9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EB43C4" w14:textId="77777777" w:rsidR="00FB1008" w:rsidRPr="00FB1008" w:rsidRDefault="00FB1008" w:rsidP="00FB1008">
      <w:pPr>
        <w:spacing w:after="0" w:line="256" w:lineRule="auto"/>
        <w:ind w:firstLine="567"/>
        <w:jc w:val="center"/>
        <w:rPr>
          <w:rFonts w:ascii="Times New Roman" w:eastAsia="Calibri" w:hAnsi="Times New Roman" w:cs="Times New Roman"/>
          <w:sz w:val="20"/>
          <w:szCs w:val="20"/>
          <w:vertAlign w:val="superscript"/>
        </w:rPr>
      </w:pPr>
      <w:r w:rsidRPr="00FB1008">
        <w:rPr>
          <w:rFonts w:ascii="Times New Roman" w:eastAsia="Calibri" w:hAnsi="Times New Roman" w:cs="Times New Roman"/>
          <w:b/>
          <w:bCs/>
          <w:sz w:val="20"/>
          <w:szCs w:val="20"/>
        </w:rPr>
        <w:t xml:space="preserve">Рисунок </w:t>
      </w:r>
      <w:r w:rsidR="00CB7003">
        <w:rPr>
          <w:rFonts w:ascii="Times New Roman" w:eastAsia="Calibri" w:hAnsi="Times New Roman" w:cs="Times New Roman"/>
          <w:b/>
          <w:bCs/>
          <w:sz w:val="20"/>
          <w:szCs w:val="20"/>
        </w:rPr>
        <w:t>1</w:t>
      </w:r>
      <w:r w:rsidRPr="00FB1008">
        <w:rPr>
          <w:rFonts w:ascii="Times New Roman" w:eastAsia="Calibri" w:hAnsi="Times New Roman" w:cs="Times New Roman"/>
          <w:b/>
          <w:bCs/>
          <w:sz w:val="20"/>
          <w:szCs w:val="20"/>
        </w:rPr>
        <w:t>.</w:t>
      </w:r>
      <w:r w:rsidRPr="00FB1008">
        <w:rPr>
          <w:rFonts w:ascii="Times New Roman" w:eastAsia="Calibri" w:hAnsi="Times New Roman" w:cs="Times New Roman"/>
          <w:sz w:val="20"/>
          <w:szCs w:val="20"/>
        </w:rPr>
        <w:t xml:space="preserve"> Сравнение руслового стока веществ по расчетам интерполяционным методом (</w:t>
      </w:r>
      <w:r w:rsidRPr="00FB1008">
        <w:rPr>
          <w:rFonts w:ascii="Times New Roman" w:eastAsia="Calibri" w:hAnsi="Times New Roman" w:cs="Times New Roman"/>
          <w:sz w:val="20"/>
          <w:szCs w:val="20"/>
          <w:lang w:val="en-US"/>
        </w:rPr>
        <w:t>output I</w:t>
      </w:r>
      <w:r w:rsidRPr="00FB1008">
        <w:rPr>
          <w:rFonts w:ascii="Times New Roman" w:eastAsia="Calibri" w:hAnsi="Times New Roman" w:cs="Times New Roman"/>
          <w:sz w:val="20"/>
          <w:szCs w:val="20"/>
        </w:rPr>
        <w:t>-</w:t>
      </w:r>
      <w:r w:rsidRPr="00FB1008">
        <w:rPr>
          <w:rFonts w:ascii="Times New Roman" w:eastAsia="Calibri" w:hAnsi="Times New Roman" w:cs="Times New Roman"/>
          <w:sz w:val="20"/>
          <w:szCs w:val="20"/>
          <w:lang w:val="en-US"/>
        </w:rPr>
        <w:t>R</w:t>
      </w:r>
      <w:r w:rsidRPr="00FB1008">
        <w:rPr>
          <w:rFonts w:ascii="Times New Roman" w:eastAsia="Calibri" w:hAnsi="Times New Roman" w:cs="Times New Roman"/>
          <w:sz w:val="20"/>
          <w:szCs w:val="20"/>
        </w:rPr>
        <w:t xml:space="preserve">) и </w:t>
      </w:r>
      <w:r w:rsidRPr="00FB1008">
        <w:rPr>
          <w:rFonts w:ascii="Times New Roman" w:eastAsia="Calibri" w:hAnsi="Times New Roman" w:cs="Times New Roman"/>
          <w:sz w:val="20"/>
          <w:szCs w:val="20"/>
          <w:lang w:val="en-US"/>
        </w:rPr>
        <w:t>L</w:t>
      </w:r>
      <w:r w:rsidRPr="00FB1008">
        <w:rPr>
          <w:rFonts w:ascii="Times New Roman" w:eastAsia="Calibri" w:hAnsi="Times New Roman" w:cs="Times New Roman"/>
          <w:sz w:val="20"/>
          <w:szCs w:val="20"/>
        </w:rPr>
        <w:t>-</w:t>
      </w:r>
      <w:r w:rsidRPr="00FB1008">
        <w:rPr>
          <w:rFonts w:ascii="Times New Roman" w:eastAsia="Calibri" w:hAnsi="Times New Roman" w:cs="Times New Roman"/>
          <w:sz w:val="20"/>
          <w:szCs w:val="20"/>
          <w:lang w:val="en-US"/>
        </w:rPr>
        <w:t>Q</w:t>
      </w:r>
      <w:r w:rsidRPr="00FB1008">
        <w:rPr>
          <w:rFonts w:ascii="Times New Roman" w:eastAsia="Calibri" w:hAnsi="Times New Roman" w:cs="Times New Roman"/>
          <w:sz w:val="20"/>
          <w:szCs w:val="20"/>
        </w:rPr>
        <w:t xml:space="preserve"> методом (</w:t>
      </w:r>
      <w:r w:rsidRPr="00FB1008">
        <w:rPr>
          <w:rFonts w:ascii="Times New Roman" w:eastAsia="Calibri" w:hAnsi="Times New Roman" w:cs="Times New Roman"/>
          <w:sz w:val="20"/>
          <w:szCs w:val="20"/>
          <w:lang w:val="en-US"/>
        </w:rPr>
        <w:t>Output L</w:t>
      </w:r>
      <w:r w:rsidRPr="00FB1008">
        <w:rPr>
          <w:rFonts w:ascii="Times New Roman" w:eastAsia="Calibri" w:hAnsi="Times New Roman" w:cs="Times New Roman"/>
          <w:sz w:val="20"/>
          <w:szCs w:val="20"/>
        </w:rPr>
        <w:t>-</w:t>
      </w:r>
      <w:r w:rsidRPr="00FB1008">
        <w:rPr>
          <w:rFonts w:ascii="Times New Roman" w:eastAsia="Calibri" w:hAnsi="Times New Roman" w:cs="Times New Roman"/>
          <w:sz w:val="20"/>
          <w:szCs w:val="20"/>
          <w:lang w:val="en-US"/>
        </w:rPr>
        <w:t>Q</w:t>
      </w:r>
      <w:r w:rsidRPr="00FB1008">
        <w:rPr>
          <w:rFonts w:ascii="Times New Roman" w:eastAsia="Calibri" w:hAnsi="Times New Roman" w:cs="Times New Roman"/>
          <w:sz w:val="20"/>
          <w:szCs w:val="20"/>
        </w:rPr>
        <w:t>) за период 2010</w:t>
      </w:r>
      <w:r w:rsidR="00E715CB">
        <w:rPr>
          <w:rFonts w:ascii="Times New Roman" w:eastAsia="Calibri" w:hAnsi="Times New Roman" w:cs="Times New Roman"/>
          <w:sz w:val="20"/>
          <w:szCs w:val="20"/>
          <w:lang w:val="en-US"/>
        </w:rPr>
        <w:t>-</w:t>
      </w:r>
      <w:r w:rsidRPr="00FB1008">
        <w:rPr>
          <w:rFonts w:ascii="Times New Roman" w:eastAsia="Calibri" w:hAnsi="Times New Roman" w:cs="Times New Roman"/>
          <w:sz w:val="20"/>
          <w:szCs w:val="20"/>
        </w:rPr>
        <w:t xml:space="preserve">2020, </w:t>
      </w:r>
      <w:proofErr w:type="spellStart"/>
      <w:r w:rsidRPr="00FB1008">
        <w:rPr>
          <w:rFonts w:ascii="Times New Roman" w:eastAsia="Calibri" w:hAnsi="Times New Roman" w:cs="Times New Roman"/>
          <w:sz w:val="20"/>
          <w:szCs w:val="20"/>
        </w:rPr>
        <w:t>кмоль</w:t>
      </w:r>
      <w:proofErr w:type="spellEnd"/>
      <w:r w:rsidRPr="00FB1008">
        <w:rPr>
          <w:rFonts w:ascii="Times New Roman" w:eastAsia="Calibri" w:hAnsi="Times New Roman" w:cs="Times New Roman"/>
          <w:sz w:val="20"/>
          <w:szCs w:val="20"/>
        </w:rPr>
        <w:t xml:space="preserve"> км</w:t>
      </w:r>
      <w:r w:rsidRPr="00FB1008">
        <w:rPr>
          <w:rFonts w:ascii="Times New Roman" w:eastAsia="Calibri" w:hAnsi="Times New Roman" w:cs="Times New Roman"/>
          <w:sz w:val="20"/>
          <w:szCs w:val="20"/>
          <w:vertAlign w:val="superscript"/>
        </w:rPr>
        <w:t>-2</w:t>
      </w:r>
      <w:r w:rsidRPr="00FB1008">
        <w:rPr>
          <w:rFonts w:ascii="Times New Roman" w:eastAsia="Calibri" w:hAnsi="Times New Roman" w:cs="Times New Roman"/>
          <w:sz w:val="20"/>
          <w:szCs w:val="20"/>
        </w:rPr>
        <w:t xml:space="preserve"> год</w:t>
      </w:r>
      <w:r w:rsidRPr="00FB1008">
        <w:rPr>
          <w:rFonts w:ascii="Times New Roman" w:eastAsia="Calibri" w:hAnsi="Times New Roman" w:cs="Times New Roman"/>
          <w:sz w:val="20"/>
          <w:szCs w:val="20"/>
          <w:vertAlign w:val="superscript"/>
        </w:rPr>
        <w:t>-1</w:t>
      </w:r>
    </w:p>
    <w:p w14:paraId="3C939703" w14:textId="77777777" w:rsidR="00FB1008" w:rsidRPr="00FB1008" w:rsidRDefault="00FB1008" w:rsidP="00FB1008">
      <w:pPr>
        <w:spacing w:after="0" w:line="360" w:lineRule="auto"/>
        <w:ind w:firstLine="567"/>
        <w:jc w:val="both"/>
        <w:rPr>
          <w:rFonts w:ascii="Times New Roman" w:eastAsia="Calibri" w:hAnsi="Times New Roman" w:cs="Times New Roman"/>
          <w:sz w:val="24"/>
        </w:rPr>
      </w:pPr>
    </w:p>
    <w:p w14:paraId="05151BA5" w14:textId="77777777" w:rsidR="00FB1008" w:rsidRPr="00FB1008" w:rsidRDefault="00FB1008" w:rsidP="003B255A">
      <w:pPr>
        <w:spacing w:after="0" w:line="360" w:lineRule="auto"/>
        <w:ind w:firstLine="709"/>
        <w:jc w:val="both"/>
        <w:rPr>
          <w:rFonts w:ascii="Times New Roman" w:eastAsia="Calibri" w:hAnsi="Times New Roman" w:cs="Times New Roman"/>
          <w:sz w:val="24"/>
        </w:rPr>
      </w:pPr>
      <w:r w:rsidRPr="00FB1008">
        <w:rPr>
          <w:rFonts w:ascii="Times New Roman" w:eastAsia="Calibri" w:hAnsi="Times New Roman" w:cs="Times New Roman"/>
          <w:sz w:val="24"/>
        </w:rPr>
        <w:t xml:space="preserve">Для ПРМ расчет руслового стока осложняется отсутствием данных о расходах воды даже при пробоотборах. Для возможности применения любого из описанных ранее методов было предложено использовать данные одной из рек-аналогов, протекающих в том же регионе. Среди них наиболее подходящей представляется река </w:t>
      </w:r>
      <w:proofErr w:type="spellStart"/>
      <w:r w:rsidRPr="00FB1008">
        <w:rPr>
          <w:rFonts w:ascii="Times New Roman" w:eastAsia="Calibri" w:hAnsi="Times New Roman" w:cs="Times New Roman"/>
          <w:sz w:val="24"/>
        </w:rPr>
        <w:t>Выдриная</w:t>
      </w:r>
      <w:proofErr w:type="spellEnd"/>
      <w:r w:rsidRPr="00FB1008">
        <w:rPr>
          <w:rFonts w:ascii="Times New Roman" w:eastAsia="Calibri" w:hAnsi="Times New Roman" w:cs="Times New Roman"/>
          <w:sz w:val="24"/>
        </w:rPr>
        <w:t xml:space="preserve"> (рис. </w:t>
      </w:r>
      <w:r w:rsidR="00CB7003">
        <w:rPr>
          <w:rFonts w:ascii="Times New Roman" w:eastAsia="Calibri" w:hAnsi="Times New Roman" w:cs="Times New Roman"/>
          <w:sz w:val="24"/>
        </w:rPr>
        <w:t>2</w:t>
      </w:r>
      <w:r w:rsidRPr="00FB1008">
        <w:rPr>
          <w:rFonts w:ascii="Times New Roman" w:eastAsia="Calibri" w:hAnsi="Times New Roman" w:cs="Times New Roman"/>
          <w:sz w:val="24"/>
        </w:rPr>
        <w:t xml:space="preserve">), являющаяся смежным с ПРМ бассейном с сопоставимой площадью водосбора, длиной и высотными отметками. На основе данных, полученных для Выдриной, и концентраций, измеренных для ПРМ за 2020 год, были рассчитаны возможные значения для выносов основных ионов (табл. </w:t>
      </w:r>
      <w:r w:rsidR="00CB7003">
        <w:rPr>
          <w:rFonts w:ascii="Times New Roman" w:eastAsia="Calibri" w:hAnsi="Times New Roman" w:cs="Times New Roman"/>
          <w:sz w:val="24"/>
        </w:rPr>
        <w:t>1</w:t>
      </w:r>
      <w:r w:rsidRPr="00FB1008">
        <w:rPr>
          <w:rFonts w:ascii="Times New Roman" w:eastAsia="Calibri" w:hAnsi="Times New Roman" w:cs="Times New Roman"/>
          <w:sz w:val="24"/>
        </w:rPr>
        <w:t>).</w:t>
      </w:r>
    </w:p>
    <w:p w14:paraId="15D23C58" w14:textId="77777777" w:rsidR="00FB1008" w:rsidRPr="00FB1008" w:rsidRDefault="00FB1008" w:rsidP="00FB1008">
      <w:pPr>
        <w:spacing w:after="0" w:line="360" w:lineRule="auto"/>
        <w:ind w:firstLine="567"/>
        <w:jc w:val="both"/>
        <w:rPr>
          <w:rFonts w:ascii="Times New Roman" w:eastAsia="Calibri" w:hAnsi="Times New Roman" w:cs="Times New Roman"/>
          <w:sz w:val="24"/>
        </w:rPr>
      </w:pPr>
    </w:p>
    <w:p w14:paraId="3D61C6AC" w14:textId="77777777" w:rsidR="00FB1008" w:rsidRPr="00FB1008" w:rsidRDefault="00FB1008" w:rsidP="00F77EB1">
      <w:pPr>
        <w:spacing w:after="0" w:line="360" w:lineRule="auto"/>
        <w:jc w:val="center"/>
        <w:rPr>
          <w:rFonts w:ascii="Times New Roman" w:eastAsia="Calibri" w:hAnsi="Times New Roman" w:cs="Times New Roman"/>
          <w:sz w:val="24"/>
        </w:rPr>
      </w:pPr>
      <w:r w:rsidRPr="00FB1008">
        <w:rPr>
          <w:rFonts w:ascii="Calibri" w:eastAsia="Calibri" w:hAnsi="Calibri" w:cs="Times New Roman"/>
          <w:noProof/>
          <w:kern w:val="2"/>
          <w:lang w:eastAsia="ru-RU"/>
          <w14:ligatures w14:val="standardContextual"/>
        </w:rPr>
        <w:lastRenderedPageBreak/>
        <w:drawing>
          <wp:inline distT="0" distB="0" distL="0" distR="0" wp14:anchorId="4623B421" wp14:editId="62C23D63">
            <wp:extent cx="2354580" cy="1950720"/>
            <wp:effectExtent l="0" t="0" r="7620" b="0"/>
            <wp:docPr id="6"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4580" cy="1950720"/>
                    </a:xfrm>
                    <a:prstGeom prst="rect">
                      <a:avLst/>
                    </a:prstGeom>
                    <a:noFill/>
                    <a:ln>
                      <a:noFill/>
                    </a:ln>
                  </pic:spPr>
                </pic:pic>
              </a:graphicData>
            </a:graphic>
          </wp:inline>
        </w:drawing>
      </w:r>
      <w:r w:rsidR="00F77EB1">
        <w:rPr>
          <w:rFonts w:ascii="Times New Roman" w:eastAsia="Calibri" w:hAnsi="Times New Roman" w:cs="Times New Roman"/>
          <w:sz w:val="24"/>
        </w:rPr>
        <w:t xml:space="preserve"> </w:t>
      </w:r>
      <w:r w:rsidRPr="00FB1008">
        <w:rPr>
          <w:rFonts w:ascii="Calibri" w:eastAsia="Calibri" w:hAnsi="Calibri" w:cs="Times New Roman"/>
          <w:noProof/>
          <w:kern w:val="2"/>
          <w:lang w:eastAsia="ru-RU"/>
          <w14:ligatures w14:val="standardContextual"/>
        </w:rPr>
        <w:drawing>
          <wp:inline distT="0" distB="0" distL="0" distR="0" wp14:anchorId="50B9F247" wp14:editId="08907C8A">
            <wp:extent cx="2065020" cy="195072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20" cy="1950720"/>
                    </a:xfrm>
                    <a:prstGeom prst="rect">
                      <a:avLst/>
                    </a:prstGeom>
                    <a:noFill/>
                    <a:ln>
                      <a:noFill/>
                    </a:ln>
                  </pic:spPr>
                </pic:pic>
              </a:graphicData>
            </a:graphic>
          </wp:inline>
        </w:drawing>
      </w:r>
    </w:p>
    <w:p w14:paraId="6B0F91FE" w14:textId="77777777" w:rsidR="00FB1008" w:rsidRDefault="00FB1008" w:rsidP="00F77EB1">
      <w:pPr>
        <w:spacing w:after="0" w:line="360" w:lineRule="auto"/>
        <w:jc w:val="center"/>
        <w:rPr>
          <w:rFonts w:ascii="Times New Roman" w:eastAsia="Calibri" w:hAnsi="Times New Roman" w:cs="Times New Roman"/>
          <w:sz w:val="20"/>
          <w:szCs w:val="20"/>
        </w:rPr>
      </w:pPr>
      <w:r w:rsidRPr="00FB1008">
        <w:rPr>
          <w:rFonts w:ascii="Times New Roman" w:eastAsia="Calibri" w:hAnsi="Times New Roman" w:cs="Times New Roman"/>
          <w:b/>
          <w:bCs/>
          <w:sz w:val="20"/>
          <w:szCs w:val="20"/>
        </w:rPr>
        <w:t xml:space="preserve">Рисунок </w:t>
      </w:r>
      <w:r w:rsidR="00CB7003">
        <w:rPr>
          <w:rFonts w:ascii="Times New Roman" w:eastAsia="Calibri" w:hAnsi="Times New Roman" w:cs="Times New Roman"/>
          <w:b/>
          <w:bCs/>
          <w:sz w:val="20"/>
          <w:szCs w:val="20"/>
        </w:rPr>
        <w:t>2</w:t>
      </w:r>
      <w:r w:rsidRPr="00FB1008">
        <w:rPr>
          <w:rFonts w:ascii="Times New Roman" w:eastAsia="Calibri" w:hAnsi="Times New Roman" w:cs="Times New Roman"/>
          <w:b/>
          <w:bCs/>
          <w:sz w:val="20"/>
          <w:szCs w:val="20"/>
        </w:rPr>
        <w:t>.</w:t>
      </w:r>
      <w:r w:rsidRPr="00FB1008">
        <w:rPr>
          <w:rFonts w:ascii="Times New Roman" w:eastAsia="Calibri" w:hAnsi="Times New Roman" w:cs="Times New Roman"/>
          <w:sz w:val="20"/>
          <w:szCs w:val="20"/>
        </w:rPr>
        <w:t xml:space="preserve"> Водосборы рек </w:t>
      </w:r>
      <w:proofErr w:type="spellStart"/>
      <w:r w:rsidRPr="00FB1008">
        <w:rPr>
          <w:rFonts w:ascii="Times New Roman" w:eastAsia="Calibri" w:hAnsi="Times New Roman" w:cs="Times New Roman"/>
          <w:sz w:val="20"/>
          <w:szCs w:val="20"/>
        </w:rPr>
        <w:t>Выдриная</w:t>
      </w:r>
      <w:proofErr w:type="spellEnd"/>
      <w:r w:rsidRPr="00FB1008">
        <w:rPr>
          <w:rFonts w:ascii="Times New Roman" w:eastAsia="Calibri" w:hAnsi="Times New Roman" w:cs="Times New Roman"/>
          <w:sz w:val="20"/>
          <w:szCs w:val="20"/>
        </w:rPr>
        <w:t xml:space="preserve"> и </w:t>
      </w:r>
      <w:proofErr w:type="spellStart"/>
      <w:r w:rsidRPr="00FB1008">
        <w:rPr>
          <w:rFonts w:ascii="Times New Roman" w:eastAsia="Calibri" w:hAnsi="Times New Roman" w:cs="Times New Roman"/>
          <w:sz w:val="20"/>
          <w:szCs w:val="20"/>
        </w:rPr>
        <w:t>Переемная</w:t>
      </w:r>
      <w:proofErr w:type="spellEnd"/>
    </w:p>
    <w:p w14:paraId="4F60B17D" w14:textId="77777777" w:rsidR="0049305F" w:rsidRPr="00FB1008" w:rsidRDefault="0049305F" w:rsidP="00F77EB1">
      <w:pPr>
        <w:spacing w:after="0" w:line="360" w:lineRule="auto"/>
        <w:jc w:val="center"/>
        <w:rPr>
          <w:rFonts w:ascii="Times New Roman" w:eastAsia="Calibri" w:hAnsi="Times New Roman" w:cs="Times New Roman"/>
          <w:sz w:val="20"/>
          <w:szCs w:val="20"/>
        </w:rPr>
      </w:pPr>
    </w:p>
    <w:p w14:paraId="4B85D7C2" w14:textId="77777777" w:rsidR="00FB1008" w:rsidRPr="00FB1008" w:rsidRDefault="00FB1008" w:rsidP="00FB1008">
      <w:pPr>
        <w:keepLines/>
        <w:suppressAutoHyphens/>
        <w:spacing w:before="120" w:after="0" w:line="360" w:lineRule="auto"/>
        <w:rPr>
          <w:rFonts w:ascii="Times New Roman" w:eastAsia="Calibri" w:hAnsi="Times New Roman" w:cs="Times New Roman"/>
          <w:sz w:val="20"/>
          <w:szCs w:val="20"/>
        </w:rPr>
      </w:pPr>
      <w:r w:rsidRPr="00FB1008">
        <w:rPr>
          <w:rFonts w:ascii="Times New Roman" w:eastAsia="Calibri" w:hAnsi="Times New Roman" w:cs="Times New Roman"/>
          <w:b/>
          <w:bCs/>
          <w:sz w:val="20"/>
          <w:szCs w:val="20"/>
        </w:rPr>
        <w:t xml:space="preserve">Таблица </w:t>
      </w:r>
      <w:r w:rsidR="00CB7003">
        <w:rPr>
          <w:rFonts w:ascii="Times New Roman" w:eastAsia="Calibri" w:hAnsi="Times New Roman" w:cs="Times New Roman"/>
          <w:b/>
          <w:bCs/>
          <w:sz w:val="20"/>
          <w:szCs w:val="20"/>
        </w:rPr>
        <w:t>1</w:t>
      </w:r>
      <w:r w:rsidRPr="00FB1008">
        <w:rPr>
          <w:rFonts w:ascii="Times New Roman" w:eastAsia="Calibri" w:hAnsi="Times New Roman" w:cs="Times New Roman"/>
          <w:b/>
          <w:bCs/>
          <w:sz w:val="20"/>
          <w:szCs w:val="20"/>
        </w:rPr>
        <w:t>.</w:t>
      </w:r>
      <w:r w:rsidRPr="00FB1008">
        <w:rPr>
          <w:rFonts w:ascii="Times New Roman" w:eastAsia="Calibri" w:hAnsi="Times New Roman" w:cs="Times New Roman"/>
          <w:sz w:val="20"/>
          <w:szCs w:val="20"/>
        </w:rPr>
        <w:t xml:space="preserve"> Рассчитанные значения выносов основных ионов за 2020 г., </w:t>
      </w:r>
      <w:proofErr w:type="spellStart"/>
      <w:r w:rsidRPr="00FB1008">
        <w:rPr>
          <w:rFonts w:ascii="Times New Roman" w:eastAsia="Calibri" w:hAnsi="Times New Roman" w:cs="Times New Roman"/>
          <w:sz w:val="20"/>
          <w:szCs w:val="20"/>
        </w:rPr>
        <w:t>кмоль</w:t>
      </w:r>
      <w:proofErr w:type="spellEnd"/>
      <w:r w:rsidRPr="00FB1008">
        <w:rPr>
          <w:rFonts w:ascii="Times New Roman" w:eastAsia="Calibri" w:hAnsi="Times New Roman" w:cs="Times New Roman"/>
          <w:sz w:val="20"/>
          <w:szCs w:val="20"/>
        </w:rPr>
        <w:t xml:space="preserve"> км</w:t>
      </w:r>
      <w:r w:rsidRPr="00FB1008">
        <w:rPr>
          <w:rFonts w:ascii="Times New Roman" w:eastAsia="Calibri" w:hAnsi="Times New Roman" w:cs="Times New Roman"/>
          <w:sz w:val="20"/>
          <w:szCs w:val="20"/>
          <w:vertAlign w:val="superscript"/>
        </w:rPr>
        <w:t>-2</w:t>
      </w:r>
      <w:r w:rsidRPr="00FB1008">
        <w:rPr>
          <w:rFonts w:ascii="Times New Roman" w:eastAsia="Calibri" w:hAnsi="Times New Roman" w:cs="Times New Roman"/>
          <w:sz w:val="20"/>
          <w:szCs w:val="20"/>
        </w:rPr>
        <w:t xml:space="preserve"> год</w:t>
      </w:r>
      <w:r w:rsidRPr="00FB1008">
        <w:rPr>
          <w:rFonts w:ascii="Times New Roman" w:eastAsia="Calibri" w:hAnsi="Times New Roman" w:cs="Times New Roman"/>
          <w:sz w:val="20"/>
          <w:szCs w:val="20"/>
          <w:vertAlign w:val="superscript"/>
        </w:rPr>
        <w:t>-1</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20" w:firstRow="1" w:lastRow="0" w:firstColumn="0" w:lastColumn="0" w:noHBand="1" w:noVBand="1"/>
      </w:tblPr>
      <w:tblGrid>
        <w:gridCol w:w="2300"/>
        <w:gridCol w:w="1429"/>
        <w:gridCol w:w="1375"/>
        <w:gridCol w:w="1402"/>
        <w:gridCol w:w="1535"/>
        <w:gridCol w:w="1587"/>
      </w:tblGrid>
      <w:tr w:rsidR="00FB1008" w:rsidRPr="00FB1008" w14:paraId="3030AB2A" w14:textId="77777777" w:rsidTr="00FB1008">
        <w:trPr>
          <w:trHeight w:val="340"/>
        </w:trPr>
        <w:tc>
          <w:tcPr>
            <w:tcW w:w="1195" w:type="pct"/>
            <w:tcBorders>
              <w:top w:val="single" w:sz="4" w:space="0" w:color="BFBFBF"/>
              <w:left w:val="single" w:sz="4" w:space="0" w:color="BFBFBF"/>
              <w:bottom w:val="single" w:sz="4" w:space="0" w:color="BFBFBF"/>
              <w:right w:val="single" w:sz="4" w:space="0" w:color="BFBFBF"/>
            </w:tcBorders>
            <w:hideMark/>
          </w:tcPr>
          <w:p w14:paraId="68B31506" w14:textId="77777777" w:rsidR="00FB1008" w:rsidRPr="00FB1008" w:rsidRDefault="00FB1008" w:rsidP="00FB1008">
            <w:pPr>
              <w:spacing w:line="256" w:lineRule="auto"/>
              <w:rPr>
                <w:rFonts w:ascii="Times New Roman" w:eastAsia="Calibri" w:hAnsi="Times New Roman" w:cs="Times New Roman"/>
                <w:sz w:val="20"/>
                <w:szCs w:val="20"/>
              </w:rPr>
            </w:pPr>
          </w:p>
        </w:tc>
        <w:tc>
          <w:tcPr>
            <w:tcW w:w="742" w:type="pct"/>
            <w:tcBorders>
              <w:top w:val="single" w:sz="4" w:space="0" w:color="BFBFBF"/>
              <w:left w:val="single" w:sz="4" w:space="0" w:color="BFBFBF"/>
              <w:bottom w:val="single" w:sz="4" w:space="0" w:color="BFBFBF"/>
              <w:right w:val="single" w:sz="4" w:space="0" w:color="BFBFBF"/>
            </w:tcBorders>
            <w:hideMark/>
          </w:tcPr>
          <w:p w14:paraId="393A886F" w14:textId="77777777" w:rsidR="00FB1008" w:rsidRPr="00FB1008" w:rsidRDefault="00FB1008" w:rsidP="00FB1008">
            <w:pPr>
              <w:spacing w:after="0" w:line="256" w:lineRule="auto"/>
              <w:jc w:val="center"/>
              <w:textAlignment w:val="bottom"/>
              <w:rPr>
                <w:rFonts w:ascii="Times New Roman" w:eastAsia="Times New Roman" w:hAnsi="Times New Roman" w:cs="Times New Roman"/>
                <w:color w:val="000000"/>
              </w:rPr>
            </w:pPr>
            <w:r w:rsidRPr="00FB1008">
              <w:rPr>
                <w:rFonts w:ascii="Times New Roman" w:eastAsia="Times New Roman" w:hAnsi="Times New Roman" w:cs="Times New Roman"/>
                <w:b/>
                <w:bCs/>
                <w:color w:val="000000"/>
                <w:kern w:val="24"/>
                <w:lang w:val="en-US"/>
              </w:rPr>
              <w:t>SO</w:t>
            </w:r>
            <w:r w:rsidRPr="00FB1008">
              <w:rPr>
                <w:rFonts w:ascii="Times New Roman" w:eastAsia="Times New Roman" w:hAnsi="Times New Roman" w:cs="Times New Roman"/>
                <w:b/>
                <w:bCs/>
                <w:color w:val="000000"/>
                <w:kern w:val="24"/>
                <w:vertAlign w:val="subscript"/>
                <w:lang w:val="en-US"/>
              </w:rPr>
              <w:t>4</w:t>
            </w:r>
            <w:r w:rsidRPr="00FB1008">
              <w:rPr>
                <w:rFonts w:ascii="Times New Roman" w:eastAsia="Times New Roman" w:hAnsi="Times New Roman" w:cs="Times New Roman"/>
                <w:b/>
                <w:bCs/>
                <w:color w:val="000000"/>
                <w:kern w:val="24"/>
                <w:vertAlign w:val="superscript"/>
              </w:rPr>
              <w:t>2-</w:t>
            </w:r>
          </w:p>
        </w:tc>
        <w:tc>
          <w:tcPr>
            <w:tcW w:w="714" w:type="pct"/>
            <w:tcBorders>
              <w:top w:val="single" w:sz="4" w:space="0" w:color="BFBFBF"/>
              <w:left w:val="single" w:sz="4" w:space="0" w:color="BFBFBF"/>
              <w:bottom w:val="single" w:sz="4" w:space="0" w:color="BFBFBF"/>
              <w:right w:val="single" w:sz="4" w:space="0" w:color="BFBFBF"/>
            </w:tcBorders>
            <w:hideMark/>
          </w:tcPr>
          <w:p w14:paraId="1590CA77" w14:textId="77777777" w:rsidR="00FB1008" w:rsidRPr="00FB1008" w:rsidRDefault="00FB1008" w:rsidP="00FB1008">
            <w:pPr>
              <w:spacing w:after="0" w:line="256" w:lineRule="auto"/>
              <w:jc w:val="center"/>
              <w:textAlignment w:val="bottom"/>
              <w:rPr>
                <w:rFonts w:ascii="Times New Roman" w:eastAsia="Times New Roman" w:hAnsi="Times New Roman" w:cs="Times New Roman"/>
                <w:color w:val="000000"/>
              </w:rPr>
            </w:pPr>
            <w:r w:rsidRPr="00FB1008">
              <w:rPr>
                <w:rFonts w:ascii="Times New Roman" w:eastAsia="Times New Roman" w:hAnsi="Times New Roman" w:cs="Times New Roman"/>
                <w:b/>
                <w:bCs/>
                <w:color w:val="000000"/>
                <w:kern w:val="24"/>
                <w:lang w:val="en-US"/>
              </w:rPr>
              <w:t>NO</w:t>
            </w:r>
            <w:r w:rsidRPr="00FB1008">
              <w:rPr>
                <w:rFonts w:ascii="Times New Roman" w:eastAsia="Times New Roman" w:hAnsi="Times New Roman" w:cs="Times New Roman"/>
                <w:b/>
                <w:bCs/>
                <w:color w:val="000000"/>
                <w:kern w:val="24"/>
                <w:vertAlign w:val="subscript"/>
                <w:lang w:val="en-US"/>
              </w:rPr>
              <w:t>3</w:t>
            </w:r>
            <w:r w:rsidRPr="00FB1008">
              <w:rPr>
                <w:rFonts w:ascii="Times New Roman" w:eastAsia="Times New Roman" w:hAnsi="Times New Roman" w:cs="Times New Roman"/>
                <w:b/>
                <w:bCs/>
                <w:color w:val="000000"/>
                <w:kern w:val="24"/>
                <w:vertAlign w:val="superscript"/>
              </w:rPr>
              <w:t>-</w:t>
            </w:r>
          </w:p>
        </w:tc>
        <w:tc>
          <w:tcPr>
            <w:tcW w:w="728" w:type="pct"/>
            <w:tcBorders>
              <w:top w:val="single" w:sz="4" w:space="0" w:color="BFBFBF"/>
              <w:left w:val="single" w:sz="4" w:space="0" w:color="BFBFBF"/>
              <w:bottom w:val="single" w:sz="4" w:space="0" w:color="BFBFBF"/>
              <w:right w:val="single" w:sz="4" w:space="0" w:color="BFBFBF"/>
            </w:tcBorders>
            <w:hideMark/>
          </w:tcPr>
          <w:p w14:paraId="6EB3FD49" w14:textId="77777777" w:rsidR="00FB1008" w:rsidRPr="00FB1008" w:rsidRDefault="00FB1008" w:rsidP="00FB1008">
            <w:pPr>
              <w:spacing w:after="0" w:line="256" w:lineRule="auto"/>
              <w:jc w:val="center"/>
              <w:textAlignment w:val="bottom"/>
              <w:rPr>
                <w:rFonts w:ascii="Times New Roman" w:eastAsia="Times New Roman" w:hAnsi="Times New Roman" w:cs="Times New Roman"/>
                <w:color w:val="000000"/>
              </w:rPr>
            </w:pPr>
            <w:r w:rsidRPr="00FB1008">
              <w:rPr>
                <w:rFonts w:ascii="Times New Roman" w:eastAsia="Times New Roman" w:hAnsi="Times New Roman" w:cs="Times New Roman"/>
                <w:b/>
                <w:bCs/>
                <w:color w:val="000000"/>
                <w:kern w:val="24"/>
                <w:lang w:val="en-US"/>
              </w:rPr>
              <w:t>NH</w:t>
            </w:r>
            <w:r w:rsidRPr="00FB1008">
              <w:rPr>
                <w:rFonts w:ascii="Times New Roman" w:eastAsia="Times New Roman" w:hAnsi="Times New Roman" w:cs="Times New Roman"/>
                <w:b/>
                <w:bCs/>
                <w:color w:val="000000"/>
                <w:kern w:val="24"/>
                <w:vertAlign w:val="subscript"/>
                <w:lang w:val="en-US"/>
              </w:rPr>
              <w:t>4</w:t>
            </w:r>
            <w:r w:rsidRPr="00FB1008">
              <w:rPr>
                <w:rFonts w:ascii="Times New Roman" w:eastAsia="Times New Roman" w:hAnsi="Times New Roman" w:cs="Times New Roman"/>
                <w:b/>
                <w:bCs/>
                <w:color w:val="000000"/>
                <w:kern w:val="24"/>
                <w:vertAlign w:val="superscript"/>
              </w:rPr>
              <w:t>+</w:t>
            </w:r>
          </w:p>
        </w:tc>
        <w:tc>
          <w:tcPr>
            <w:tcW w:w="797" w:type="pct"/>
            <w:tcBorders>
              <w:top w:val="single" w:sz="4" w:space="0" w:color="BFBFBF"/>
              <w:left w:val="single" w:sz="4" w:space="0" w:color="BFBFBF"/>
              <w:bottom w:val="single" w:sz="4" w:space="0" w:color="BFBFBF"/>
              <w:right w:val="single" w:sz="4" w:space="0" w:color="BFBFBF"/>
            </w:tcBorders>
            <w:hideMark/>
          </w:tcPr>
          <w:p w14:paraId="0A08D35B" w14:textId="77777777" w:rsidR="00FB1008" w:rsidRPr="00FB1008" w:rsidRDefault="00FB1008" w:rsidP="00FB1008">
            <w:pPr>
              <w:spacing w:after="0" w:line="256" w:lineRule="auto"/>
              <w:jc w:val="center"/>
              <w:textAlignment w:val="bottom"/>
              <w:rPr>
                <w:rFonts w:ascii="Times New Roman" w:eastAsia="Times New Roman" w:hAnsi="Times New Roman" w:cs="Times New Roman"/>
                <w:color w:val="000000"/>
              </w:rPr>
            </w:pPr>
            <w:r w:rsidRPr="00FB1008">
              <w:rPr>
                <w:rFonts w:ascii="Times New Roman" w:eastAsia="Times New Roman" w:hAnsi="Times New Roman" w:cs="Times New Roman"/>
                <w:b/>
                <w:bCs/>
                <w:color w:val="000000"/>
                <w:kern w:val="24"/>
                <w:lang w:val="en-US"/>
              </w:rPr>
              <w:t>Ca</w:t>
            </w:r>
            <w:r w:rsidRPr="00FB1008">
              <w:rPr>
                <w:rFonts w:ascii="Times New Roman" w:eastAsia="Times New Roman" w:hAnsi="Times New Roman" w:cs="Times New Roman"/>
                <w:b/>
                <w:bCs/>
                <w:color w:val="000000"/>
                <w:kern w:val="24"/>
                <w:vertAlign w:val="superscript"/>
              </w:rPr>
              <w:t>2+</w:t>
            </w:r>
          </w:p>
        </w:tc>
        <w:tc>
          <w:tcPr>
            <w:tcW w:w="824" w:type="pct"/>
            <w:tcBorders>
              <w:top w:val="single" w:sz="4" w:space="0" w:color="BFBFBF"/>
              <w:left w:val="single" w:sz="4" w:space="0" w:color="BFBFBF"/>
              <w:bottom w:val="single" w:sz="4" w:space="0" w:color="BFBFBF"/>
              <w:right w:val="single" w:sz="4" w:space="0" w:color="BFBFBF"/>
            </w:tcBorders>
            <w:hideMark/>
          </w:tcPr>
          <w:p w14:paraId="0FA10B06" w14:textId="77777777" w:rsidR="00FB1008" w:rsidRPr="00FB1008" w:rsidRDefault="00FB1008" w:rsidP="00FB1008">
            <w:pPr>
              <w:spacing w:after="0" w:line="256" w:lineRule="auto"/>
              <w:textAlignment w:val="bottom"/>
              <w:rPr>
                <w:rFonts w:ascii="Times New Roman" w:eastAsia="Times New Roman" w:hAnsi="Times New Roman" w:cs="Times New Roman"/>
                <w:color w:val="000000"/>
              </w:rPr>
            </w:pPr>
            <w:r w:rsidRPr="00FB1008">
              <w:rPr>
                <w:rFonts w:ascii="Times New Roman" w:eastAsia="Times New Roman" w:hAnsi="Times New Roman" w:cs="Times New Roman"/>
                <w:b/>
                <w:bCs/>
                <w:color w:val="000000"/>
                <w:kern w:val="24"/>
              </w:rPr>
              <w:t>Вынос с ПВ</w:t>
            </w:r>
          </w:p>
        </w:tc>
      </w:tr>
      <w:tr w:rsidR="00FB1008" w:rsidRPr="00FB1008" w14:paraId="75286331" w14:textId="77777777" w:rsidTr="00FB1008">
        <w:trPr>
          <w:trHeight w:val="340"/>
        </w:trPr>
        <w:tc>
          <w:tcPr>
            <w:tcW w:w="1195" w:type="pct"/>
            <w:tcBorders>
              <w:top w:val="single" w:sz="4" w:space="0" w:color="BFBFBF"/>
              <w:left w:val="single" w:sz="4" w:space="0" w:color="BFBFBF"/>
              <w:bottom w:val="single" w:sz="4" w:space="0" w:color="BFBFBF"/>
              <w:right w:val="single" w:sz="4" w:space="0" w:color="BFBFBF"/>
            </w:tcBorders>
            <w:hideMark/>
          </w:tcPr>
          <w:p w14:paraId="562336C2" w14:textId="77777777" w:rsidR="00FB1008" w:rsidRPr="00FB1008" w:rsidRDefault="00FB1008" w:rsidP="00FB1008">
            <w:pPr>
              <w:spacing w:after="0" w:line="256" w:lineRule="auto"/>
              <w:textAlignment w:val="bottom"/>
              <w:rPr>
                <w:rFonts w:ascii="Times New Roman" w:eastAsia="Times New Roman" w:hAnsi="Times New Roman" w:cs="Times New Roman"/>
              </w:rPr>
            </w:pPr>
            <w:proofErr w:type="spellStart"/>
            <w:r w:rsidRPr="00FB1008">
              <w:rPr>
                <w:rFonts w:ascii="Times New Roman" w:eastAsia="Times New Roman" w:hAnsi="Times New Roman" w:cs="Times New Roman"/>
                <w:color w:val="000000"/>
                <w:kern w:val="24"/>
              </w:rPr>
              <w:t>Переемная</w:t>
            </w:r>
            <w:proofErr w:type="spellEnd"/>
            <w:r w:rsidRPr="00FB1008">
              <w:rPr>
                <w:rFonts w:ascii="Times New Roman" w:eastAsia="Times New Roman" w:hAnsi="Times New Roman" w:cs="Times New Roman"/>
                <w:color w:val="000000"/>
                <w:kern w:val="24"/>
              </w:rPr>
              <w:t xml:space="preserve">, </w:t>
            </w:r>
            <w:r w:rsidRPr="00FB1008">
              <w:rPr>
                <w:rFonts w:ascii="Times New Roman" w:eastAsia="Times New Roman" w:hAnsi="Times New Roman" w:cs="Times New Roman"/>
                <w:color w:val="000000"/>
                <w:kern w:val="24"/>
                <w:lang w:val="en-US"/>
              </w:rPr>
              <w:t>2020</w:t>
            </w:r>
            <w:r w:rsidRPr="00FB1008">
              <w:rPr>
                <w:rFonts w:ascii="Times New Roman" w:eastAsia="Times New Roman" w:hAnsi="Times New Roman" w:cs="Times New Roman"/>
                <w:color w:val="000000"/>
                <w:kern w:val="24"/>
              </w:rPr>
              <w:t xml:space="preserve"> г.</w:t>
            </w:r>
          </w:p>
        </w:tc>
        <w:tc>
          <w:tcPr>
            <w:tcW w:w="742" w:type="pct"/>
            <w:tcBorders>
              <w:top w:val="single" w:sz="4" w:space="0" w:color="BFBFBF"/>
              <w:left w:val="single" w:sz="4" w:space="0" w:color="BFBFBF"/>
              <w:bottom w:val="single" w:sz="4" w:space="0" w:color="BFBFBF"/>
              <w:right w:val="single" w:sz="4" w:space="0" w:color="BFBFBF"/>
            </w:tcBorders>
            <w:hideMark/>
          </w:tcPr>
          <w:p w14:paraId="1FF89BC7"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162,51</w:t>
            </w:r>
          </w:p>
        </w:tc>
        <w:tc>
          <w:tcPr>
            <w:tcW w:w="714" w:type="pct"/>
            <w:tcBorders>
              <w:top w:val="single" w:sz="4" w:space="0" w:color="BFBFBF"/>
              <w:left w:val="single" w:sz="4" w:space="0" w:color="BFBFBF"/>
              <w:bottom w:val="single" w:sz="4" w:space="0" w:color="BFBFBF"/>
              <w:right w:val="single" w:sz="4" w:space="0" w:color="BFBFBF"/>
            </w:tcBorders>
            <w:hideMark/>
          </w:tcPr>
          <w:p w14:paraId="1F7CD8F8"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11,40</w:t>
            </w:r>
          </w:p>
        </w:tc>
        <w:tc>
          <w:tcPr>
            <w:tcW w:w="728" w:type="pct"/>
            <w:tcBorders>
              <w:top w:val="single" w:sz="4" w:space="0" w:color="BFBFBF"/>
              <w:left w:val="single" w:sz="4" w:space="0" w:color="BFBFBF"/>
              <w:bottom w:val="single" w:sz="4" w:space="0" w:color="BFBFBF"/>
              <w:right w:val="single" w:sz="4" w:space="0" w:color="BFBFBF"/>
            </w:tcBorders>
            <w:hideMark/>
          </w:tcPr>
          <w:p w14:paraId="139C5400"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0,159</w:t>
            </w:r>
          </w:p>
        </w:tc>
        <w:tc>
          <w:tcPr>
            <w:tcW w:w="797" w:type="pct"/>
            <w:tcBorders>
              <w:top w:val="single" w:sz="4" w:space="0" w:color="BFBFBF"/>
              <w:left w:val="single" w:sz="4" w:space="0" w:color="BFBFBF"/>
              <w:bottom w:val="single" w:sz="4" w:space="0" w:color="BFBFBF"/>
              <w:right w:val="single" w:sz="4" w:space="0" w:color="BFBFBF"/>
            </w:tcBorders>
            <w:hideMark/>
          </w:tcPr>
          <w:p w14:paraId="6F4F366D"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148,13</w:t>
            </w:r>
          </w:p>
        </w:tc>
        <w:tc>
          <w:tcPr>
            <w:tcW w:w="824" w:type="pct"/>
            <w:tcBorders>
              <w:top w:val="single" w:sz="4" w:space="0" w:color="BFBFBF"/>
              <w:left w:val="single" w:sz="4" w:space="0" w:color="BFBFBF"/>
              <w:bottom w:val="single" w:sz="4" w:space="0" w:color="BFBFBF"/>
              <w:right w:val="single" w:sz="4" w:space="0" w:color="BFBFBF"/>
            </w:tcBorders>
            <w:hideMark/>
          </w:tcPr>
          <w:p w14:paraId="4CE7D6CD"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11,1</w:t>
            </w:r>
          </w:p>
        </w:tc>
      </w:tr>
      <w:tr w:rsidR="00FB1008" w:rsidRPr="00FB1008" w14:paraId="53423267" w14:textId="77777777" w:rsidTr="00FB1008">
        <w:trPr>
          <w:trHeight w:val="340"/>
        </w:trPr>
        <w:tc>
          <w:tcPr>
            <w:tcW w:w="1195" w:type="pct"/>
            <w:tcBorders>
              <w:top w:val="single" w:sz="4" w:space="0" w:color="BFBFBF"/>
              <w:left w:val="single" w:sz="4" w:space="0" w:color="BFBFBF"/>
              <w:bottom w:val="single" w:sz="4" w:space="0" w:color="BFBFBF"/>
              <w:right w:val="single" w:sz="4" w:space="0" w:color="BFBFBF"/>
            </w:tcBorders>
            <w:hideMark/>
          </w:tcPr>
          <w:p w14:paraId="29723E25" w14:textId="77777777" w:rsidR="00FB1008" w:rsidRPr="00FB1008" w:rsidRDefault="00FB1008" w:rsidP="00FB1008">
            <w:pPr>
              <w:spacing w:after="0" w:line="256" w:lineRule="auto"/>
              <w:textAlignment w:val="bottom"/>
              <w:rPr>
                <w:rFonts w:ascii="Times New Roman" w:eastAsia="Times New Roman" w:hAnsi="Times New Roman" w:cs="Times New Roman"/>
              </w:rPr>
            </w:pPr>
            <w:proofErr w:type="spellStart"/>
            <w:r w:rsidRPr="00FB1008">
              <w:rPr>
                <w:rFonts w:ascii="Times New Roman" w:eastAsia="Times New Roman" w:hAnsi="Times New Roman" w:cs="Times New Roman"/>
                <w:color w:val="000000"/>
                <w:kern w:val="24"/>
              </w:rPr>
              <w:t>Переемная</w:t>
            </w:r>
            <w:proofErr w:type="spellEnd"/>
            <w:r w:rsidRPr="00FB1008">
              <w:rPr>
                <w:rFonts w:ascii="Times New Roman" w:eastAsia="Times New Roman" w:hAnsi="Times New Roman" w:cs="Times New Roman"/>
                <w:color w:val="000000"/>
                <w:kern w:val="24"/>
              </w:rPr>
              <w:t xml:space="preserve"> </w:t>
            </w:r>
            <w:r w:rsidRPr="00FB1008">
              <w:rPr>
                <w:rFonts w:ascii="Times New Roman" w:eastAsia="Times New Roman" w:hAnsi="Times New Roman" w:cs="Times New Roman"/>
                <w:color w:val="000000"/>
                <w:kern w:val="24"/>
                <w:lang w:val="en-US"/>
              </w:rPr>
              <w:t>(</w:t>
            </w:r>
            <w:proofErr w:type="spellStart"/>
            <w:r w:rsidRPr="00FB1008">
              <w:rPr>
                <w:rFonts w:ascii="Times New Roman" w:eastAsia="Times New Roman" w:hAnsi="Times New Roman" w:cs="Times New Roman"/>
                <w:color w:val="000000"/>
                <w:kern w:val="24"/>
              </w:rPr>
              <w:t>средн</w:t>
            </w:r>
            <w:proofErr w:type="spellEnd"/>
            <w:r w:rsidRPr="00FB1008">
              <w:rPr>
                <w:rFonts w:ascii="Times New Roman" w:eastAsia="Times New Roman" w:hAnsi="Times New Roman" w:cs="Times New Roman"/>
                <w:color w:val="000000"/>
                <w:kern w:val="24"/>
              </w:rPr>
              <w:t>.</w:t>
            </w:r>
            <w:r w:rsidRPr="00FB1008">
              <w:rPr>
                <w:rFonts w:ascii="Times New Roman" w:eastAsia="Times New Roman" w:hAnsi="Times New Roman" w:cs="Times New Roman"/>
                <w:color w:val="000000"/>
                <w:kern w:val="24"/>
                <w:lang w:val="en-US"/>
              </w:rPr>
              <w:t>)</w:t>
            </w:r>
          </w:p>
        </w:tc>
        <w:tc>
          <w:tcPr>
            <w:tcW w:w="742" w:type="pct"/>
            <w:tcBorders>
              <w:top w:val="single" w:sz="4" w:space="0" w:color="BFBFBF"/>
              <w:left w:val="single" w:sz="4" w:space="0" w:color="BFBFBF"/>
              <w:bottom w:val="single" w:sz="4" w:space="0" w:color="BFBFBF"/>
              <w:right w:val="single" w:sz="4" w:space="0" w:color="BFBFBF"/>
            </w:tcBorders>
            <w:hideMark/>
          </w:tcPr>
          <w:p w14:paraId="1EC6E849"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151,70</w:t>
            </w:r>
          </w:p>
        </w:tc>
        <w:tc>
          <w:tcPr>
            <w:tcW w:w="714" w:type="pct"/>
            <w:tcBorders>
              <w:top w:val="single" w:sz="4" w:space="0" w:color="BFBFBF"/>
              <w:left w:val="single" w:sz="4" w:space="0" w:color="BFBFBF"/>
              <w:bottom w:val="single" w:sz="4" w:space="0" w:color="BFBFBF"/>
              <w:right w:val="single" w:sz="4" w:space="0" w:color="BFBFBF"/>
            </w:tcBorders>
            <w:hideMark/>
          </w:tcPr>
          <w:p w14:paraId="4FCA0000"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10,64</w:t>
            </w:r>
          </w:p>
        </w:tc>
        <w:tc>
          <w:tcPr>
            <w:tcW w:w="728" w:type="pct"/>
            <w:tcBorders>
              <w:top w:val="single" w:sz="4" w:space="0" w:color="BFBFBF"/>
              <w:left w:val="single" w:sz="4" w:space="0" w:color="BFBFBF"/>
              <w:bottom w:val="single" w:sz="4" w:space="0" w:color="BFBFBF"/>
              <w:right w:val="single" w:sz="4" w:space="0" w:color="BFBFBF"/>
            </w:tcBorders>
            <w:hideMark/>
          </w:tcPr>
          <w:p w14:paraId="136EE4C8"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0,148</w:t>
            </w:r>
          </w:p>
        </w:tc>
        <w:tc>
          <w:tcPr>
            <w:tcW w:w="797" w:type="pct"/>
            <w:tcBorders>
              <w:top w:val="single" w:sz="4" w:space="0" w:color="BFBFBF"/>
              <w:left w:val="single" w:sz="4" w:space="0" w:color="BFBFBF"/>
              <w:bottom w:val="single" w:sz="4" w:space="0" w:color="BFBFBF"/>
              <w:right w:val="single" w:sz="4" w:space="0" w:color="BFBFBF"/>
            </w:tcBorders>
            <w:hideMark/>
          </w:tcPr>
          <w:p w14:paraId="204B8BE6"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138,27</w:t>
            </w:r>
          </w:p>
        </w:tc>
        <w:tc>
          <w:tcPr>
            <w:tcW w:w="824" w:type="pct"/>
            <w:tcBorders>
              <w:top w:val="single" w:sz="4" w:space="0" w:color="BFBFBF"/>
              <w:left w:val="single" w:sz="4" w:space="0" w:color="BFBFBF"/>
              <w:bottom w:val="single" w:sz="4" w:space="0" w:color="BFBFBF"/>
              <w:right w:val="single" w:sz="4" w:space="0" w:color="BFBFBF"/>
            </w:tcBorders>
            <w:hideMark/>
          </w:tcPr>
          <w:p w14:paraId="0D42B5B9"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10,4</w:t>
            </w:r>
          </w:p>
        </w:tc>
      </w:tr>
      <w:tr w:rsidR="00FB1008" w:rsidRPr="00FB1008" w14:paraId="71D27BEA" w14:textId="77777777" w:rsidTr="00FB1008">
        <w:trPr>
          <w:trHeight w:val="340"/>
        </w:trPr>
        <w:tc>
          <w:tcPr>
            <w:tcW w:w="1195" w:type="pct"/>
            <w:tcBorders>
              <w:top w:val="single" w:sz="4" w:space="0" w:color="BFBFBF"/>
              <w:left w:val="single" w:sz="4" w:space="0" w:color="BFBFBF"/>
              <w:bottom w:val="single" w:sz="4" w:space="0" w:color="BFBFBF"/>
              <w:right w:val="single" w:sz="4" w:space="0" w:color="BFBFBF"/>
            </w:tcBorders>
            <w:hideMark/>
          </w:tcPr>
          <w:p w14:paraId="2D947C1A" w14:textId="77777777" w:rsidR="00FB1008" w:rsidRPr="00FB1008" w:rsidRDefault="00FB1008" w:rsidP="00FB1008">
            <w:pPr>
              <w:spacing w:after="0" w:line="256" w:lineRule="auto"/>
              <w:textAlignment w:val="bottom"/>
              <w:rPr>
                <w:rFonts w:ascii="Times New Roman" w:eastAsia="Times New Roman" w:hAnsi="Times New Roman" w:cs="Times New Roman"/>
              </w:rPr>
            </w:pPr>
            <w:proofErr w:type="spellStart"/>
            <w:r w:rsidRPr="00FB1008">
              <w:rPr>
                <w:rFonts w:ascii="Times New Roman" w:eastAsia="Times New Roman" w:hAnsi="Times New Roman" w:cs="Times New Roman"/>
                <w:color w:val="000000"/>
                <w:kern w:val="24"/>
              </w:rPr>
              <w:t>Переемная</w:t>
            </w:r>
            <w:proofErr w:type="spellEnd"/>
            <w:r w:rsidRPr="00FB1008">
              <w:rPr>
                <w:rFonts w:ascii="Times New Roman" w:eastAsia="Times New Roman" w:hAnsi="Times New Roman" w:cs="Times New Roman"/>
                <w:color w:val="000000"/>
                <w:kern w:val="24"/>
                <w:lang w:val="en-US"/>
              </w:rPr>
              <w:t xml:space="preserve"> (</w:t>
            </w:r>
            <w:r w:rsidRPr="00FB1008">
              <w:rPr>
                <w:rFonts w:ascii="Times New Roman" w:eastAsia="Times New Roman" w:hAnsi="Times New Roman" w:cs="Times New Roman"/>
                <w:color w:val="000000"/>
                <w:kern w:val="24"/>
              </w:rPr>
              <w:t>макс.</w:t>
            </w:r>
            <w:r w:rsidRPr="00FB1008">
              <w:rPr>
                <w:rFonts w:ascii="Times New Roman" w:eastAsia="Times New Roman" w:hAnsi="Times New Roman" w:cs="Times New Roman"/>
                <w:color w:val="000000"/>
                <w:kern w:val="24"/>
                <w:lang w:val="en-US"/>
              </w:rPr>
              <w:t>)</w:t>
            </w:r>
          </w:p>
        </w:tc>
        <w:tc>
          <w:tcPr>
            <w:tcW w:w="742" w:type="pct"/>
            <w:tcBorders>
              <w:top w:val="single" w:sz="4" w:space="0" w:color="BFBFBF"/>
              <w:left w:val="single" w:sz="4" w:space="0" w:color="BFBFBF"/>
              <w:bottom w:val="single" w:sz="4" w:space="0" w:color="BFBFBF"/>
              <w:right w:val="single" w:sz="4" w:space="0" w:color="BFBFBF"/>
            </w:tcBorders>
            <w:hideMark/>
          </w:tcPr>
          <w:p w14:paraId="3469AD64"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194,72</w:t>
            </w:r>
          </w:p>
        </w:tc>
        <w:tc>
          <w:tcPr>
            <w:tcW w:w="714" w:type="pct"/>
            <w:tcBorders>
              <w:top w:val="single" w:sz="4" w:space="0" w:color="BFBFBF"/>
              <w:left w:val="single" w:sz="4" w:space="0" w:color="BFBFBF"/>
              <w:bottom w:val="single" w:sz="4" w:space="0" w:color="BFBFBF"/>
              <w:right w:val="single" w:sz="4" w:space="0" w:color="BFBFBF"/>
            </w:tcBorders>
            <w:hideMark/>
          </w:tcPr>
          <w:p w14:paraId="552D94CB"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13,66</w:t>
            </w:r>
          </w:p>
        </w:tc>
        <w:tc>
          <w:tcPr>
            <w:tcW w:w="728" w:type="pct"/>
            <w:tcBorders>
              <w:top w:val="single" w:sz="4" w:space="0" w:color="BFBFBF"/>
              <w:left w:val="single" w:sz="4" w:space="0" w:color="BFBFBF"/>
              <w:bottom w:val="single" w:sz="4" w:space="0" w:color="BFBFBF"/>
              <w:right w:val="single" w:sz="4" w:space="0" w:color="BFBFBF"/>
            </w:tcBorders>
            <w:hideMark/>
          </w:tcPr>
          <w:p w14:paraId="50B203D1"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0,190</w:t>
            </w:r>
          </w:p>
        </w:tc>
        <w:tc>
          <w:tcPr>
            <w:tcW w:w="797" w:type="pct"/>
            <w:tcBorders>
              <w:top w:val="single" w:sz="4" w:space="0" w:color="BFBFBF"/>
              <w:left w:val="single" w:sz="4" w:space="0" w:color="BFBFBF"/>
              <w:bottom w:val="single" w:sz="4" w:space="0" w:color="BFBFBF"/>
              <w:right w:val="single" w:sz="4" w:space="0" w:color="BFBFBF"/>
            </w:tcBorders>
            <w:hideMark/>
          </w:tcPr>
          <w:p w14:paraId="58493B1F"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177,48</w:t>
            </w:r>
          </w:p>
        </w:tc>
        <w:tc>
          <w:tcPr>
            <w:tcW w:w="824" w:type="pct"/>
            <w:tcBorders>
              <w:top w:val="single" w:sz="4" w:space="0" w:color="BFBFBF"/>
              <w:left w:val="single" w:sz="4" w:space="0" w:color="BFBFBF"/>
              <w:bottom w:val="single" w:sz="4" w:space="0" w:color="BFBFBF"/>
              <w:right w:val="single" w:sz="4" w:space="0" w:color="BFBFBF"/>
            </w:tcBorders>
            <w:hideMark/>
          </w:tcPr>
          <w:p w14:paraId="0C6DF812"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7,7</w:t>
            </w:r>
          </w:p>
        </w:tc>
      </w:tr>
      <w:tr w:rsidR="00FB1008" w:rsidRPr="00FB1008" w14:paraId="262D5BB4" w14:textId="77777777" w:rsidTr="00FB1008">
        <w:trPr>
          <w:trHeight w:val="340"/>
        </w:trPr>
        <w:tc>
          <w:tcPr>
            <w:tcW w:w="1195" w:type="pct"/>
            <w:tcBorders>
              <w:top w:val="single" w:sz="4" w:space="0" w:color="BFBFBF"/>
              <w:left w:val="single" w:sz="4" w:space="0" w:color="BFBFBF"/>
              <w:bottom w:val="single" w:sz="4" w:space="0" w:color="BFBFBF"/>
              <w:right w:val="single" w:sz="4" w:space="0" w:color="BFBFBF"/>
            </w:tcBorders>
            <w:hideMark/>
          </w:tcPr>
          <w:p w14:paraId="32E8B4BF" w14:textId="77777777" w:rsidR="00FB1008" w:rsidRPr="00FB1008" w:rsidRDefault="00FB1008" w:rsidP="00FB1008">
            <w:pPr>
              <w:spacing w:after="0" w:line="256" w:lineRule="auto"/>
              <w:textAlignment w:val="bottom"/>
              <w:rPr>
                <w:rFonts w:ascii="Times New Roman" w:eastAsia="Times New Roman" w:hAnsi="Times New Roman" w:cs="Times New Roman"/>
              </w:rPr>
            </w:pPr>
            <w:proofErr w:type="spellStart"/>
            <w:r w:rsidRPr="00FB1008">
              <w:rPr>
                <w:rFonts w:ascii="Times New Roman" w:eastAsia="Times New Roman" w:hAnsi="Times New Roman" w:cs="Times New Roman"/>
                <w:color w:val="000000"/>
                <w:kern w:val="24"/>
              </w:rPr>
              <w:t>Переемная</w:t>
            </w:r>
            <w:proofErr w:type="spellEnd"/>
            <w:r w:rsidRPr="00FB1008">
              <w:rPr>
                <w:rFonts w:ascii="Times New Roman" w:eastAsia="Times New Roman" w:hAnsi="Times New Roman" w:cs="Times New Roman"/>
                <w:color w:val="000000"/>
                <w:kern w:val="24"/>
                <w:lang w:val="en-US"/>
              </w:rPr>
              <w:t xml:space="preserve"> (</w:t>
            </w:r>
            <w:r w:rsidRPr="00FB1008">
              <w:rPr>
                <w:rFonts w:ascii="Times New Roman" w:eastAsia="Times New Roman" w:hAnsi="Times New Roman" w:cs="Times New Roman"/>
                <w:color w:val="000000"/>
                <w:kern w:val="24"/>
              </w:rPr>
              <w:t>мин.</w:t>
            </w:r>
            <w:r w:rsidRPr="00FB1008">
              <w:rPr>
                <w:rFonts w:ascii="Times New Roman" w:eastAsia="Times New Roman" w:hAnsi="Times New Roman" w:cs="Times New Roman"/>
                <w:color w:val="000000"/>
                <w:kern w:val="24"/>
                <w:lang w:val="en-US"/>
              </w:rPr>
              <w:t>)</w:t>
            </w:r>
          </w:p>
        </w:tc>
        <w:tc>
          <w:tcPr>
            <w:tcW w:w="742" w:type="pct"/>
            <w:tcBorders>
              <w:top w:val="single" w:sz="4" w:space="0" w:color="BFBFBF"/>
              <w:left w:val="single" w:sz="4" w:space="0" w:color="BFBFBF"/>
              <w:bottom w:val="single" w:sz="4" w:space="0" w:color="BFBFBF"/>
              <w:right w:val="single" w:sz="4" w:space="0" w:color="BFBFBF"/>
            </w:tcBorders>
            <w:hideMark/>
          </w:tcPr>
          <w:p w14:paraId="246ADD3A"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112,00</w:t>
            </w:r>
          </w:p>
        </w:tc>
        <w:tc>
          <w:tcPr>
            <w:tcW w:w="714" w:type="pct"/>
            <w:tcBorders>
              <w:top w:val="single" w:sz="4" w:space="0" w:color="BFBFBF"/>
              <w:left w:val="single" w:sz="4" w:space="0" w:color="BFBFBF"/>
              <w:bottom w:val="single" w:sz="4" w:space="0" w:color="BFBFBF"/>
              <w:right w:val="single" w:sz="4" w:space="0" w:color="BFBFBF"/>
            </w:tcBorders>
            <w:hideMark/>
          </w:tcPr>
          <w:p w14:paraId="32B5CBBE"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7,86</w:t>
            </w:r>
          </w:p>
        </w:tc>
        <w:tc>
          <w:tcPr>
            <w:tcW w:w="728" w:type="pct"/>
            <w:tcBorders>
              <w:top w:val="single" w:sz="4" w:space="0" w:color="BFBFBF"/>
              <w:left w:val="single" w:sz="4" w:space="0" w:color="BFBFBF"/>
              <w:bottom w:val="single" w:sz="4" w:space="0" w:color="BFBFBF"/>
              <w:right w:val="single" w:sz="4" w:space="0" w:color="BFBFBF"/>
            </w:tcBorders>
            <w:hideMark/>
          </w:tcPr>
          <w:p w14:paraId="0356116B"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0,109</w:t>
            </w:r>
          </w:p>
        </w:tc>
        <w:tc>
          <w:tcPr>
            <w:tcW w:w="797" w:type="pct"/>
            <w:tcBorders>
              <w:top w:val="single" w:sz="4" w:space="0" w:color="BFBFBF"/>
              <w:left w:val="single" w:sz="4" w:space="0" w:color="BFBFBF"/>
              <w:bottom w:val="single" w:sz="4" w:space="0" w:color="BFBFBF"/>
              <w:right w:val="single" w:sz="4" w:space="0" w:color="BFBFBF"/>
            </w:tcBorders>
            <w:hideMark/>
          </w:tcPr>
          <w:p w14:paraId="17E6DDBC"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102,09</w:t>
            </w:r>
          </w:p>
        </w:tc>
        <w:tc>
          <w:tcPr>
            <w:tcW w:w="824" w:type="pct"/>
            <w:tcBorders>
              <w:top w:val="single" w:sz="4" w:space="0" w:color="BFBFBF"/>
              <w:left w:val="single" w:sz="4" w:space="0" w:color="BFBFBF"/>
              <w:bottom w:val="single" w:sz="4" w:space="0" w:color="BFBFBF"/>
              <w:right w:val="single" w:sz="4" w:space="0" w:color="BFBFBF"/>
            </w:tcBorders>
            <w:hideMark/>
          </w:tcPr>
          <w:p w14:paraId="0ED5410D" w14:textId="77777777" w:rsidR="00FB1008" w:rsidRPr="00FB1008" w:rsidRDefault="00FB1008" w:rsidP="00FB1008">
            <w:pPr>
              <w:spacing w:after="0" w:line="256" w:lineRule="auto"/>
              <w:jc w:val="center"/>
              <w:textAlignment w:val="bottom"/>
              <w:rPr>
                <w:rFonts w:ascii="Times New Roman" w:eastAsia="Times New Roman" w:hAnsi="Times New Roman" w:cs="Times New Roman"/>
              </w:rPr>
            </w:pPr>
            <w:r w:rsidRPr="00FB1008">
              <w:rPr>
                <w:rFonts w:ascii="Times New Roman" w:eastAsia="Times New Roman" w:hAnsi="Times New Roman" w:cs="Times New Roman"/>
                <w:color w:val="000000"/>
                <w:kern w:val="24"/>
              </w:rPr>
              <w:t>13,3</w:t>
            </w:r>
          </w:p>
        </w:tc>
      </w:tr>
    </w:tbl>
    <w:p w14:paraId="3523C2E9" w14:textId="77777777" w:rsidR="00FB1008" w:rsidRPr="00FB1008" w:rsidRDefault="00FB1008" w:rsidP="00FB1008">
      <w:pPr>
        <w:spacing w:after="0" w:line="256" w:lineRule="auto"/>
        <w:rPr>
          <w:rFonts w:ascii="Times New Roman" w:eastAsia="Calibri" w:hAnsi="Times New Roman" w:cs="Times New Roman"/>
          <w:kern w:val="2"/>
          <w:lang w:val="en-US"/>
          <w14:ligatures w14:val="standardContextual"/>
        </w:rPr>
      </w:pPr>
    </w:p>
    <w:p w14:paraId="37F9392A" w14:textId="77777777" w:rsidR="00FB1008" w:rsidRPr="00FB1008" w:rsidRDefault="00FB1008" w:rsidP="00FB1008">
      <w:pPr>
        <w:spacing w:after="0" w:line="360" w:lineRule="auto"/>
        <w:ind w:firstLine="720"/>
        <w:jc w:val="both"/>
        <w:rPr>
          <w:rFonts w:ascii="Times New Roman" w:eastAsia="Calibri" w:hAnsi="Times New Roman" w:cs="Times New Roman"/>
          <w:kern w:val="2"/>
          <w:sz w:val="24"/>
          <w:szCs w:val="24"/>
          <w14:ligatures w14:val="standardContextual"/>
        </w:rPr>
      </w:pPr>
      <w:r w:rsidRPr="00FB1008">
        <w:rPr>
          <w:rFonts w:ascii="Times New Roman" w:eastAsia="Calibri" w:hAnsi="Times New Roman" w:cs="Times New Roman"/>
          <w:kern w:val="2"/>
          <w:sz w:val="24"/>
          <w:szCs w:val="24"/>
          <w14:ligatures w14:val="standardContextual"/>
        </w:rPr>
        <w:t xml:space="preserve">По результатам расчетов значений руслового стока было проведено сравнение между КМР и ПРМ (рис. </w:t>
      </w:r>
      <w:r w:rsidR="00CB7003">
        <w:rPr>
          <w:rFonts w:ascii="Times New Roman" w:eastAsia="Calibri" w:hAnsi="Times New Roman" w:cs="Times New Roman"/>
          <w:kern w:val="2"/>
          <w:sz w:val="24"/>
          <w:szCs w:val="24"/>
          <w14:ligatures w14:val="standardContextual"/>
        </w:rPr>
        <w:t>3</w:t>
      </w:r>
      <w:r w:rsidRPr="00FB1008">
        <w:rPr>
          <w:rFonts w:ascii="Times New Roman" w:eastAsia="Calibri" w:hAnsi="Times New Roman" w:cs="Times New Roman"/>
          <w:kern w:val="2"/>
          <w:sz w:val="24"/>
          <w:szCs w:val="24"/>
          <w14:ligatures w14:val="standardContextual"/>
        </w:rPr>
        <w:t>). Несмотря на то, что концентрации основных ионов в поверхностных водах для КМР обычно превышают значения для ПРМ, рассчитанные значения руслового стока для сульфатов и кальция для КМР были заметно ниже.</w:t>
      </w:r>
    </w:p>
    <w:p w14:paraId="6F12D5E6" w14:textId="77777777" w:rsidR="00FB1008" w:rsidRPr="00FB1008" w:rsidRDefault="00FB1008" w:rsidP="00FB1008">
      <w:pPr>
        <w:spacing w:after="0" w:line="256" w:lineRule="auto"/>
        <w:rPr>
          <w:rFonts w:ascii="Times New Roman" w:eastAsia="Calibri" w:hAnsi="Times New Roman" w:cs="Times New Roman"/>
          <w:kern w:val="2"/>
          <w14:ligatures w14:val="standardContextual"/>
        </w:rPr>
      </w:pPr>
    </w:p>
    <w:p w14:paraId="40A4C9FF" w14:textId="77777777" w:rsidR="00FB1008" w:rsidRPr="00FB1008" w:rsidRDefault="00FB1008" w:rsidP="00FB1008">
      <w:pPr>
        <w:spacing w:after="0" w:line="360" w:lineRule="auto"/>
        <w:jc w:val="center"/>
        <w:rPr>
          <w:rFonts w:ascii="Times New Roman" w:eastAsia="Calibri" w:hAnsi="Times New Roman" w:cs="Times New Roman"/>
          <w:kern w:val="2"/>
          <w:sz w:val="24"/>
          <w:szCs w:val="24"/>
          <w14:ligatures w14:val="standardContextual"/>
        </w:rPr>
      </w:pPr>
      <w:r w:rsidRPr="00FB1008">
        <w:rPr>
          <w:rFonts w:ascii="Calibri" w:eastAsia="Calibri" w:hAnsi="Calibri" w:cs="Times New Roman"/>
          <w:noProof/>
          <w:kern w:val="2"/>
          <w:lang w:eastAsia="ru-RU"/>
          <w14:ligatures w14:val="standardContextual"/>
        </w:rPr>
        <w:drawing>
          <wp:inline distT="0" distB="0" distL="0" distR="0" wp14:anchorId="2A067F71" wp14:editId="5653EC90">
            <wp:extent cx="3276600" cy="19431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0CE615C7" w14:textId="77777777" w:rsidR="00FB1008" w:rsidRPr="00FB1008" w:rsidRDefault="00FB1008" w:rsidP="001D1815">
      <w:pPr>
        <w:spacing w:after="0" w:line="360" w:lineRule="auto"/>
        <w:jc w:val="center"/>
        <w:rPr>
          <w:rFonts w:ascii="Times New Roman" w:eastAsia="Calibri" w:hAnsi="Times New Roman" w:cs="Times New Roman"/>
          <w:sz w:val="20"/>
          <w:szCs w:val="20"/>
        </w:rPr>
      </w:pPr>
      <w:r w:rsidRPr="00FB1008">
        <w:rPr>
          <w:rFonts w:ascii="Times New Roman" w:eastAsia="Calibri" w:hAnsi="Times New Roman" w:cs="Times New Roman"/>
          <w:b/>
          <w:bCs/>
          <w:sz w:val="20"/>
          <w:szCs w:val="20"/>
        </w:rPr>
        <w:t xml:space="preserve">Рисунок </w:t>
      </w:r>
      <w:r w:rsidR="00CB7003">
        <w:rPr>
          <w:rFonts w:ascii="Times New Roman" w:eastAsia="Calibri" w:hAnsi="Times New Roman" w:cs="Times New Roman"/>
          <w:b/>
          <w:bCs/>
          <w:sz w:val="20"/>
          <w:szCs w:val="20"/>
        </w:rPr>
        <w:t>3</w:t>
      </w:r>
      <w:r w:rsidRPr="00FB1008">
        <w:rPr>
          <w:rFonts w:ascii="Times New Roman" w:eastAsia="Calibri" w:hAnsi="Times New Roman" w:cs="Times New Roman"/>
          <w:sz w:val="20"/>
          <w:szCs w:val="20"/>
        </w:rPr>
        <w:t xml:space="preserve">. Сравнение русловых стоков веществ для рек </w:t>
      </w:r>
      <w:proofErr w:type="spellStart"/>
      <w:r w:rsidRPr="00FB1008">
        <w:rPr>
          <w:rFonts w:ascii="Times New Roman" w:eastAsia="Calibri" w:hAnsi="Times New Roman" w:cs="Times New Roman"/>
          <w:sz w:val="20"/>
          <w:szCs w:val="20"/>
        </w:rPr>
        <w:t>Переемная</w:t>
      </w:r>
      <w:proofErr w:type="spellEnd"/>
      <w:r w:rsidRPr="00FB1008">
        <w:rPr>
          <w:rFonts w:ascii="Times New Roman" w:eastAsia="Calibri" w:hAnsi="Times New Roman" w:cs="Times New Roman"/>
          <w:sz w:val="20"/>
          <w:szCs w:val="20"/>
        </w:rPr>
        <w:t xml:space="preserve"> и Комаровка</w:t>
      </w:r>
    </w:p>
    <w:p w14:paraId="71DE3A79" w14:textId="77777777" w:rsidR="00FB1008" w:rsidRPr="00FB1008" w:rsidRDefault="00FB1008" w:rsidP="00FB1008">
      <w:pPr>
        <w:spacing w:after="0" w:line="360" w:lineRule="auto"/>
        <w:ind w:firstLine="567"/>
        <w:jc w:val="center"/>
        <w:rPr>
          <w:rFonts w:ascii="Times New Roman" w:eastAsia="Calibri" w:hAnsi="Times New Roman" w:cs="Times New Roman"/>
          <w:sz w:val="20"/>
          <w:szCs w:val="20"/>
        </w:rPr>
      </w:pPr>
    </w:p>
    <w:p w14:paraId="75762339" w14:textId="77777777" w:rsidR="00FB1008" w:rsidRPr="00FB1008" w:rsidRDefault="00FB1008" w:rsidP="00FB1008">
      <w:pPr>
        <w:spacing w:after="0" w:line="360" w:lineRule="auto"/>
        <w:ind w:firstLine="567"/>
        <w:jc w:val="both"/>
        <w:rPr>
          <w:rFonts w:ascii="Times New Roman" w:eastAsia="Calibri" w:hAnsi="Times New Roman" w:cs="Times New Roman"/>
          <w:i/>
          <w:iCs/>
          <w:kern w:val="2"/>
          <w:sz w:val="24"/>
          <w:szCs w:val="24"/>
          <w14:ligatures w14:val="standardContextual"/>
        </w:rPr>
      </w:pPr>
      <w:r w:rsidRPr="00FB1008">
        <w:rPr>
          <w:rFonts w:ascii="Times New Roman" w:eastAsia="Calibri" w:hAnsi="Times New Roman" w:cs="Times New Roman"/>
          <w:kern w:val="2"/>
          <w:sz w:val="24"/>
          <w:szCs w:val="24"/>
          <w14:ligatures w14:val="standardContextual"/>
        </w:rPr>
        <w:t xml:space="preserve">В дальнейшем, для получения более точных результатов необходимо вводить в расчетные уравнения данные за большее число лет. Также, на основе имеющихся параметров расходов и концентраций загрязняющих веществ можно делать ежегодную корректировку значений выносов веществ. Увеличения числа пробоотборов также может снизить вероятность ошибок </w:t>
      </w:r>
      <w:r w:rsidRPr="00FB1008">
        <w:rPr>
          <w:rFonts w:ascii="Times New Roman" w:eastAsia="Calibri" w:hAnsi="Times New Roman" w:cs="Times New Roman"/>
          <w:kern w:val="2"/>
          <w:sz w:val="24"/>
          <w:szCs w:val="24"/>
          <w14:ligatures w14:val="standardContextual"/>
        </w:rPr>
        <w:lastRenderedPageBreak/>
        <w:t>в расчетах руслового стока. Кроме того, проведение измерений расходов воды непосредственно на ПРМ поможет получать более точные результаты.</w:t>
      </w:r>
    </w:p>
    <w:p w14:paraId="503237DE" w14:textId="77777777" w:rsidR="00FB1008" w:rsidRPr="00FB1008" w:rsidRDefault="00FB1008" w:rsidP="003B255A">
      <w:pPr>
        <w:spacing w:after="0" w:line="360" w:lineRule="auto"/>
        <w:ind w:firstLine="709"/>
        <w:jc w:val="both"/>
        <w:rPr>
          <w:rFonts w:ascii="Times New Roman" w:eastAsia="Times New Roman" w:hAnsi="Times New Roman" w:cs="Times New Roman"/>
          <w:i/>
          <w:sz w:val="24"/>
          <w:szCs w:val="24"/>
          <w:lang w:eastAsia="ja-JP"/>
        </w:rPr>
      </w:pPr>
      <w:r w:rsidRPr="00FB1008">
        <w:rPr>
          <w:rFonts w:ascii="Times New Roman" w:eastAsia="Times New Roman" w:hAnsi="Times New Roman" w:cs="Times New Roman"/>
          <w:i/>
          <w:sz w:val="24"/>
          <w:szCs w:val="24"/>
          <w:lang w:eastAsia="ja-JP"/>
        </w:rPr>
        <w:t>Исследование выполнено в рамках темы НИОКТР АААА-А20-120013190049–4 «Развитие методов и технологий мониторинга загрязнения природной среды вследствие трансграничного переноса загрязняющих веществ (ЕЭК ООН: ЕМЕП, МСП КМ) и кислотных выпадений в Восточной Азии (</w:t>
      </w:r>
      <w:r w:rsidRPr="00FB1008">
        <w:rPr>
          <w:rFonts w:ascii="Times New Roman" w:eastAsia="Times New Roman" w:hAnsi="Times New Roman" w:cs="Times New Roman"/>
          <w:i/>
          <w:sz w:val="24"/>
          <w:szCs w:val="24"/>
          <w:lang w:val="en-US" w:eastAsia="ja-JP"/>
        </w:rPr>
        <w:t>EA</w:t>
      </w:r>
      <w:r w:rsidRPr="00FB1008">
        <w:rPr>
          <w:rFonts w:ascii="Times New Roman" w:eastAsia="Times New Roman" w:hAnsi="Times New Roman" w:cs="Times New Roman"/>
          <w:i/>
          <w:sz w:val="24"/>
          <w:szCs w:val="24"/>
          <w:lang w:eastAsia="ja-JP"/>
        </w:rPr>
        <w:t>Н</w:t>
      </w:r>
      <w:r w:rsidRPr="00FB1008">
        <w:rPr>
          <w:rFonts w:ascii="Times New Roman" w:eastAsia="Times New Roman" w:hAnsi="Times New Roman" w:cs="Times New Roman"/>
          <w:i/>
          <w:sz w:val="24"/>
          <w:szCs w:val="24"/>
          <w:lang w:val="en-US" w:eastAsia="ja-JP"/>
        </w:rPr>
        <w:t>ET</w:t>
      </w:r>
      <w:r w:rsidRPr="00FB1008">
        <w:rPr>
          <w:rFonts w:ascii="Times New Roman" w:eastAsia="Times New Roman" w:hAnsi="Times New Roman" w:cs="Times New Roman"/>
          <w:i/>
          <w:sz w:val="24"/>
          <w:szCs w:val="24"/>
          <w:lang w:eastAsia="ja-JP"/>
        </w:rPr>
        <w:t>)». Обработка информации и часть данных были подготовлены в работах по государственному заданию Института географии РАН АААА-А19-119022190168-8 (FMGE-2019-0010)".</w:t>
      </w:r>
    </w:p>
    <w:p w14:paraId="31962AB9" w14:textId="77777777" w:rsidR="00FB1008" w:rsidRPr="00FB1008" w:rsidRDefault="00FB1008" w:rsidP="00FB1008">
      <w:pPr>
        <w:spacing w:before="120" w:after="0" w:line="360" w:lineRule="auto"/>
        <w:jc w:val="center"/>
        <w:rPr>
          <w:rFonts w:ascii="Times New Roman" w:eastAsia="Times New Roman" w:hAnsi="Times New Roman" w:cs="Times New Roman"/>
          <w:b/>
          <w:sz w:val="24"/>
          <w:szCs w:val="20"/>
        </w:rPr>
      </w:pPr>
      <w:r w:rsidRPr="00FB1008">
        <w:rPr>
          <w:rFonts w:ascii="Times New Roman" w:eastAsia="Times New Roman" w:hAnsi="Times New Roman" w:cs="Times New Roman"/>
          <w:b/>
          <w:sz w:val="24"/>
          <w:szCs w:val="20"/>
        </w:rPr>
        <w:t>Список литературы</w:t>
      </w:r>
    </w:p>
    <w:p w14:paraId="68F1C456" w14:textId="77777777" w:rsidR="0087633C" w:rsidRPr="00FB1008" w:rsidRDefault="0087633C" w:rsidP="003B255A">
      <w:pPr>
        <w:spacing w:after="0" w:line="360" w:lineRule="auto"/>
        <w:ind w:firstLine="709"/>
        <w:jc w:val="both"/>
        <w:rPr>
          <w:rFonts w:ascii="Times New Roman" w:eastAsia="Calibri" w:hAnsi="Times New Roman" w:cs="Times New Roman"/>
          <w:kern w:val="2"/>
          <w:sz w:val="24"/>
          <w:szCs w:val="24"/>
          <w:lang w:val="en-US"/>
          <w14:ligatures w14:val="standardContextual"/>
        </w:rPr>
      </w:pPr>
      <w:proofErr w:type="spellStart"/>
      <w:r w:rsidRPr="00FB1008">
        <w:rPr>
          <w:rFonts w:ascii="Times New Roman" w:eastAsia="Calibri" w:hAnsi="Times New Roman" w:cs="Times New Roman"/>
          <w:kern w:val="2"/>
          <w:sz w:val="24"/>
          <w:szCs w:val="24"/>
          <w14:ligatures w14:val="standardContextual"/>
        </w:rPr>
        <w:t>Ide</w:t>
      </w:r>
      <w:proofErr w:type="spellEnd"/>
      <w:r w:rsidRPr="00FB1008">
        <w:rPr>
          <w:rFonts w:ascii="Times New Roman" w:eastAsia="Calibri" w:hAnsi="Times New Roman" w:cs="Times New Roman"/>
          <w:kern w:val="2"/>
          <w:sz w:val="24"/>
          <w:szCs w:val="24"/>
          <w14:ligatures w14:val="standardContextual"/>
        </w:rPr>
        <w:t xml:space="preserve"> J., </w:t>
      </w:r>
      <w:proofErr w:type="spellStart"/>
      <w:r w:rsidRPr="00FB1008">
        <w:rPr>
          <w:rFonts w:ascii="Times New Roman" w:eastAsia="Calibri" w:hAnsi="Times New Roman" w:cs="Times New Roman"/>
          <w:kern w:val="2"/>
          <w:sz w:val="24"/>
          <w:szCs w:val="24"/>
          <w14:ligatures w14:val="standardContextual"/>
        </w:rPr>
        <w:t>Nagafuchi</w:t>
      </w:r>
      <w:proofErr w:type="spellEnd"/>
      <w:r w:rsidRPr="00FB1008">
        <w:rPr>
          <w:rFonts w:ascii="Times New Roman" w:eastAsia="Calibri" w:hAnsi="Times New Roman" w:cs="Times New Roman"/>
          <w:kern w:val="2"/>
          <w:sz w:val="24"/>
          <w:szCs w:val="24"/>
          <w14:ligatures w14:val="standardContextual"/>
        </w:rPr>
        <w:t xml:space="preserve"> O., </w:t>
      </w:r>
      <w:proofErr w:type="spellStart"/>
      <w:r w:rsidRPr="00FB1008">
        <w:rPr>
          <w:rFonts w:ascii="Times New Roman" w:eastAsia="Calibri" w:hAnsi="Times New Roman" w:cs="Times New Roman"/>
          <w:kern w:val="2"/>
          <w:sz w:val="24"/>
          <w:szCs w:val="24"/>
          <w14:ligatures w14:val="standardContextual"/>
        </w:rPr>
        <w:t>Chiwa</w:t>
      </w:r>
      <w:proofErr w:type="spellEnd"/>
      <w:r w:rsidRPr="00FB1008">
        <w:rPr>
          <w:rFonts w:ascii="Times New Roman" w:eastAsia="Calibri" w:hAnsi="Times New Roman" w:cs="Times New Roman"/>
          <w:kern w:val="2"/>
          <w:sz w:val="24"/>
          <w:szCs w:val="24"/>
          <w14:ligatures w14:val="standardContextual"/>
        </w:rPr>
        <w:t xml:space="preserve"> M., </w:t>
      </w:r>
      <w:proofErr w:type="spellStart"/>
      <w:r w:rsidRPr="00FB1008">
        <w:rPr>
          <w:rFonts w:ascii="Times New Roman" w:eastAsia="Calibri" w:hAnsi="Times New Roman" w:cs="Times New Roman"/>
          <w:kern w:val="2"/>
          <w:sz w:val="24"/>
          <w:szCs w:val="24"/>
          <w14:ligatures w14:val="standardContextual"/>
        </w:rPr>
        <w:t>Kume</w:t>
      </w:r>
      <w:proofErr w:type="spellEnd"/>
      <w:r w:rsidRPr="00FB1008">
        <w:rPr>
          <w:rFonts w:ascii="Times New Roman" w:eastAsia="Calibri" w:hAnsi="Times New Roman" w:cs="Times New Roman"/>
          <w:kern w:val="2"/>
          <w:sz w:val="24"/>
          <w:szCs w:val="24"/>
          <w14:ligatures w14:val="standardContextual"/>
        </w:rPr>
        <w:t xml:space="preserve"> A., </w:t>
      </w:r>
      <w:proofErr w:type="spellStart"/>
      <w:r w:rsidRPr="00FB1008">
        <w:rPr>
          <w:rFonts w:ascii="Times New Roman" w:eastAsia="Calibri" w:hAnsi="Times New Roman" w:cs="Times New Roman"/>
          <w:kern w:val="2"/>
          <w:sz w:val="24"/>
          <w:szCs w:val="24"/>
          <w14:ligatures w14:val="standardContextual"/>
        </w:rPr>
        <w:t>Otsuki</w:t>
      </w:r>
      <w:proofErr w:type="spellEnd"/>
      <w:r w:rsidRPr="00FB1008">
        <w:rPr>
          <w:rFonts w:ascii="Times New Roman" w:eastAsia="Calibri" w:hAnsi="Times New Roman" w:cs="Times New Roman"/>
          <w:kern w:val="2"/>
          <w:sz w:val="24"/>
          <w:szCs w:val="24"/>
          <w14:ligatures w14:val="standardContextual"/>
        </w:rPr>
        <w:t xml:space="preserve"> K., </w:t>
      </w:r>
      <w:proofErr w:type="spellStart"/>
      <w:r w:rsidRPr="00FB1008">
        <w:rPr>
          <w:rFonts w:ascii="Times New Roman" w:eastAsia="Calibri" w:hAnsi="Times New Roman" w:cs="Times New Roman"/>
          <w:kern w:val="2"/>
          <w:sz w:val="24"/>
          <w:szCs w:val="24"/>
          <w14:ligatures w14:val="standardContextual"/>
        </w:rPr>
        <w:t>Ogawa</w:t>
      </w:r>
      <w:proofErr w:type="spellEnd"/>
      <w:r w:rsidRPr="00FB1008">
        <w:rPr>
          <w:rFonts w:ascii="Times New Roman" w:eastAsia="Calibri" w:hAnsi="Times New Roman" w:cs="Times New Roman"/>
          <w:kern w:val="2"/>
          <w:sz w:val="24"/>
          <w:szCs w:val="24"/>
          <w14:ligatures w14:val="standardContextual"/>
        </w:rPr>
        <w:t xml:space="preserve"> S. </w:t>
      </w:r>
      <w:r w:rsidRPr="00FB1008">
        <w:rPr>
          <w:rFonts w:ascii="Times New Roman" w:eastAsia="Calibri" w:hAnsi="Times New Roman" w:cs="Times New Roman"/>
          <w:kern w:val="2"/>
          <w:sz w:val="24"/>
          <w:szCs w:val="24"/>
          <w:lang w:val="en-US"/>
          <w14:ligatures w14:val="standardContextual"/>
        </w:rPr>
        <w:t>Effects of discharge level on the load of dissolved and particulate components of stream nitrogen and phosphorus from a small afforested watershed of Japanese cypress (</w:t>
      </w:r>
      <w:proofErr w:type="spellStart"/>
      <w:r w:rsidRPr="00FB1008">
        <w:rPr>
          <w:rFonts w:ascii="Times New Roman" w:eastAsia="Calibri" w:hAnsi="Times New Roman" w:cs="Times New Roman"/>
          <w:i/>
          <w:iCs/>
          <w:kern w:val="2"/>
          <w:sz w:val="24"/>
          <w:szCs w:val="24"/>
          <w:lang w:val="en-US"/>
          <w14:ligatures w14:val="standardContextual"/>
        </w:rPr>
        <w:t>Chamaecyparis</w:t>
      </w:r>
      <w:proofErr w:type="spellEnd"/>
      <w:r w:rsidRPr="00FB1008">
        <w:rPr>
          <w:rFonts w:ascii="Times New Roman" w:eastAsia="Calibri" w:hAnsi="Times New Roman" w:cs="Times New Roman"/>
          <w:i/>
          <w:iCs/>
          <w:kern w:val="2"/>
          <w:sz w:val="24"/>
          <w:szCs w:val="24"/>
          <w:lang w:val="en-US"/>
          <w14:ligatures w14:val="standardContextual"/>
        </w:rPr>
        <w:t xml:space="preserve"> </w:t>
      </w:r>
      <w:proofErr w:type="spellStart"/>
      <w:r w:rsidRPr="00FB1008">
        <w:rPr>
          <w:rFonts w:ascii="Times New Roman" w:eastAsia="Calibri" w:hAnsi="Times New Roman" w:cs="Times New Roman"/>
          <w:i/>
          <w:iCs/>
          <w:kern w:val="2"/>
          <w:sz w:val="24"/>
          <w:szCs w:val="24"/>
          <w:lang w:val="en-US"/>
          <w14:ligatures w14:val="standardContextual"/>
        </w:rPr>
        <w:t>obtusa</w:t>
      </w:r>
      <w:proofErr w:type="spellEnd"/>
      <w:r w:rsidRPr="00FB1008">
        <w:rPr>
          <w:rFonts w:ascii="Times New Roman" w:eastAsia="Calibri" w:hAnsi="Times New Roman" w:cs="Times New Roman"/>
          <w:kern w:val="2"/>
          <w:sz w:val="24"/>
          <w:szCs w:val="24"/>
          <w:lang w:val="en-US"/>
          <w14:ligatures w14:val="standardContextual"/>
        </w:rPr>
        <w:t>)</w:t>
      </w:r>
      <w:r w:rsidR="0013565A">
        <w:rPr>
          <w:rFonts w:ascii="Times New Roman" w:eastAsia="Calibri" w:hAnsi="Times New Roman" w:cs="Times New Roman"/>
          <w:kern w:val="2"/>
          <w:sz w:val="24"/>
          <w:szCs w:val="24"/>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Journal of Forest Research</w:t>
      </w:r>
      <w:r w:rsidR="0013565A">
        <w:rPr>
          <w:rFonts w:ascii="Times New Roman" w:eastAsia="Calibri" w:hAnsi="Times New Roman" w:cs="Times New Roman"/>
          <w:kern w:val="2"/>
          <w:sz w:val="24"/>
          <w:szCs w:val="24"/>
          <w14:ligatures w14:val="standardContextual"/>
        </w:rPr>
        <w:t>. – 2007. –</w:t>
      </w:r>
      <w:r w:rsidRPr="00FB1008">
        <w:rPr>
          <w:rFonts w:ascii="Times New Roman" w:eastAsia="Calibri" w:hAnsi="Times New Roman" w:cs="Times New Roman"/>
          <w:kern w:val="2"/>
          <w:sz w:val="24"/>
          <w:szCs w:val="24"/>
          <w:lang w:val="en-US"/>
          <w14:ligatures w14:val="standardContextual"/>
        </w:rPr>
        <w:t xml:space="preserve"> </w:t>
      </w:r>
      <w:r w:rsidR="0013565A">
        <w:rPr>
          <w:rFonts w:ascii="Times New Roman" w:eastAsia="Calibri" w:hAnsi="Times New Roman" w:cs="Times New Roman"/>
          <w:kern w:val="2"/>
          <w:sz w:val="24"/>
          <w:szCs w:val="24"/>
          <w:lang w:val="en-US"/>
          <w14:ligatures w14:val="standardContextual"/>
        </w:rPr>
        <w:t xml:space="preserve">Vol. </w:t>
      </w:r>
      <w:r w:rsidRPr="00FB1008">
        <w:rPr>
          <w:rFonts w:ascii="Times New Roman" w:eastAsia="Calibri" w:hAnsi="Times New Roman" w:cs="Times New Roman"/>
          <w:kern w:val="2"/>
          <w:sz w:val="24"/>
          <w:szCs w:val="24"/>
          <w:lang w:val="en-US"/>
          <w14:ligatures w14:val="standardContextual"/>
        </w:rPr>
        <w:t>12</w:t>
      </w:r>
      <w:r w:rsidR="0013565A">
        <w:rPr>
          <w:rFonts w:ascii="Times New Roman" w:eastAsia="Calibri" w:hAnsi="Times New Roman" w:cs="Times New Roman"/>
          <w:kern w:val="2"/>
          <w:sz w:val="24"/>
          <w:szCs w:val="24"/>
          <w:lang w:val="en-US"/>
          <w14:ligatures w14:val="standardContextual"/>
        </w:rPr>
        <w:t xml:space="preserve">, No. </w:t>
      </w:r>
      <w:r w:rsidRPr="00FB1008">
        <w:rPr>
          <w:rFonts w:ascii="Times New Roman" w:eastAsia="Calibri" w:hAnsi="Times New Roman" w:cs="Times New Roman"/>
          <w:kern w:val="2"/>
          <w:sz w:val="24"/>
          <w:szCs w:val="24"/>
          <w:lang w:val="en-US"/>
          <w14:ligatures w14:val="standardContextual"/>
        </w:rPr>
        <w:t>1.</w:t>
      </w:r>
      <w:r w:rsidR="0013565A">
        <w:rPr>
          <w:rFonts w:ascii="Times New Roman" w:eastAsia="Calibri" w:hAnsi="Times New Roman" w:cs="Times New Roman"/>
          <w:kern w:val="2"/>
          <w:sz w:val="24"/>
          <w:szCs w:val="24"/>
          <w:lang w:val="en-US"/>
          <w14:ligatures w14:val="standardContextual"/>
        </w:rPr>
        <w:t xml:space="preserve"> – P.</w:t>
      </w:r>
      <w:r w:rsidRPr="00FB1008">
        <w:rPr>
          <w:rFonts w:ascii="Times New Roman" w:eastAsia="Calibri" w:hAnsi="Times New Roman" w:cs="Times New Roman"/>
          <w:kern w:val="2"/>
          <w:sz w:val="24"/>
          <w:szCs w:val="24"/>
          <w:lang w:val="en-US"/>
          <w14:ligatures w14:val="standardContextual"/>
        </w:rPr>
        <w:t xml:space="preserve"> 45–56.</w:t>
      </w:r>
    </w:p>
    <w:p w14:paraId="1E05FBE0" w14:textId="77777777" w:rsidR="0087633C" w:rsidRPr="00FB1008" w:rsidRDefault="0087633C" w:rsidP="003B255A">
      <w:pPr>
        <w:spacing w:after="0" w:line="360" w:lineRule="auto"/>
        <w:ind w:firstLine="709"/>
        <w:jc w:val="both"/>
        <w:rPr>
          <w:rFonts w:ascii="Times New Roman" w:eastAsia="Calibri" w:hAnsi="Times New Roman" w:cs="Times New Roman"/>
          <w:kern w:val="2"/>
          <w:sz w:val="24"/>
          <w:szCs w:val="24"/>
          <w:lang w:val="en-US"/>
          <w14:ligatures w14:val="standardContextual"/>
        </w:rPr>
      </w:pPr>
      <w:r w:rsidRPr="00FB1008">
        <w:rPr>
          <w:rFonts w:ascii="Times New Roman" w:eastAsia="Calibri" w:hAnsi="Times New Roman" w:cs="Times New Roman"/>
          <w:kern w:val="2"/>
          <w:sz w:val="24"/>
          <w:szCs w:val="24"/>
          <w:lang w:val="en-US"/>
          <w14:ligatures w14:val="standardContextual"/>
        </w:rPr>
        <w:t>Likens G.E., Bormann F.H. Chemistry</w:t>
      </w:r>
      <w:r w:rsidR="00AF3E96">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Biogeochemistry of a Forested Ecosystem</w:t>
      </w:r>
      <w:r w:rsidR="00AF3E96">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w:t>
      </w:r>
      <w:r w:rsidR="00AF3E96" w:rsidRPr="00FB1008">
        <w:rPr>
          <w:rFonts w:ascii="Times New Roman" w:eastAsia="Calibri" w:hAnsi="Times New Roman" w:cs="Times New Roman"/>
          <w:kern w:val="2"/>
          <w:sz w:val="24"/>
          <w:szCs w:val="24"/>
          <w:lang w:val="en-US"/>
          <w14:ligatures w14:val="standardContextual"/>
        </w:rPr>
        <w:t>G.E. Likens</w:t>
      </w:r>
      <w:r w:rsidR="009947BF">
        <w:rPr>
          <w:rFonts w:ascii="Times New Roman" w:eastAsia="Calibri" w:hAnsi="Times New Roman" w:cs="Times New Roman"/>
          <w:kern w:val="2"/>
          <w:sz w:val="24"/>
          <w:szCs w:val="24"/>
          <w:lang w:val="en-US"/>
          <w14:ligatures w14:val="standardContextual"/>
        </w:rPr>
        <w:t>,</w:t>
      </w:r>
      <w:r w:rsidR="00AF3E96" w:rsidRPr="00FB1008">
        <w:rPr>
          <w:rFonts w:ascii="Times New Roman" w:eastAsia="Calibri" w:hAnsi="Times New Roman" w:cs="Times New Roman"/>
          <w:kern w:val="2"/>
          <w:sz w:val="24"/>
          <w:szCs w:val="24"/>
          <w:lang w:val="en-US"/>
          <w14:ligatures w14:val="standardContextual"/>
        </w:rPr>
        <w:t xml:space="preserve"> F.H. Bormann (Eds.)</w:t>
      </w:r>
      <w:r w:rsidR="009947BF">
        <w:rPr>
          <w:rFonts w:ascii="Times New Roman" w:eastAsia="Calibri" w:hAnsi="Times New Roman" w:cs="Times New Roman"/>
          <w:kern w:val="2"/>
          <w:sz w:val="24"/>
          <w:szCs w:val="24"/>
          <w:lang w:val="en-US"/>
          <w14:ligatures w14:val="standardContextual"/>
        </w:rPr>
        <w:t>. –</w:t>
      </w:r>
      <w:r w:rsidR="00AF3E96" w:rsidRPr="00FB1008">
        <w:rPr>
          <w:rFonts w:ascii="Times New Roman" w:eastAsia="Calibri" w:hAnsi="Times New Roman" w:cs="Times New Roman"/>
          <w:kern w:val="2"/>
          <w:sz w:val="24"/>
          <w:szCs w:val="24"/>
          <w:lang w:val="en-US"/>
          <w14:ligatures w14:val="standardContextual"/>
        </w:rPr>
        <w:t xml:space="preserve"> </w:t>
      </w:r>
      <w:r w:rsidR="009947BF">
        <w:rPr>
          <w:rFonts w:ascii="Times New Roman" w:eastAsia="Calibri" w:hAnsi="Times New Roman" w:cs="Times New Roman"/>
          <w:kern w:val="2"/>
          <w:sz w:val="24"/>
          <w:szCs w:val="24"/>
          <w:lang w:val="en-US"/>
          <w14:ligatures w14:val="standardContextual"/>
        </w:rPr>
        <w:t>Springer-Verlag,</w:t>
      </w:r>
      <w:r w:rsidR="00A17E9F">
        <w:rPr>
          <w:rFonts w:ascii="Times New Roman" w:eastAsia="Calibri" w:hAnsi="Times New Roman" w:cs="Times New Roman"/>
          <w:kern w:val="2"/>
          <w:sz w:val="24"/>
          <w:szCs w:val="24"/>
          <w:lang w:val="en-US"/>
          <w14:ligatures w14:val="standardContextual"/>
        </w:rPr>
        <w:t xml:space="preserve"> </w:t>
      </w:r>
      <w:r w:rsidR="00AF3E96" w:rsidRPr="00FB1008">
        <w:rPr>
          <w:rFonts w:ascii="Times New Roman" w:eastAsia="Calibri" w:hAnsi="Times New Roman" w:cs="Times New Roman"/>
          <w:kern w:val="2"/>
          <w:sz w:val="24"/>
          <w:szCs w:val="24"/>
          <w:lang w:val="en-US"/>
          <w14:ligatures w14:val="standardContextual"/>
        </w:rPr>
        <w:t>1995</w:t>
      </w:r>
      <w:r w:rsidR="00A17E9F">
        <w:rPr>
          <w:rFonts w:ascii="Times New Roman" w:eastAsia="Calibri" w:hAnsi="Times New Roman" w:cs="Times New Roman"/>
          <w:kern w:val="2"/>
          <w:sz w:val="24"/>
          <w:szCs w:val="24"/>
          <w:lang w:val="en-US"/>
          <w14:ligatures w14:val="standardContextual"/>
        </w:rPr>
        <w:t>. –</w:t>
      </w:r>
      <w:r w:rsidR="009947BF">
        <w:rPr>
          <w:rFonts w:ascii="Times New Roman" w:eastAsia="Calibri" w:hAnsi="Times New Roman" w:cs="Times New Roman"/>
          <w:kern w:val="2"/>
          <w:sz w:val="24"/>
          <w:szCs w:val="24"/>
          <w:lang w:val="en-US"/>
          <w14:ligatures w14:val="standardContextual"/>
        </w:rPr>
        <w:t xml:space="preserve"> P.</w:t>
      </w:r>
      <w:r w:rsidRPr="00FB1008">
        <w:rPr>
          <w:rFonts w:ascii="Times New Roman" w:eastAsia="Calibri" w:hAnsi="Times New Roman" w:cs="Times New Roman"/>
          <w:kern w:val="2"/>
          <w:sz w:val="24"/>
          <w:szCs w:val="24"/>
          <w:lang w:val="en-US"/>
          <w14:ligatures w14:val="standardContextual"/>
        </w:rPr>
        <w:t xml:space="preserve"> 31–72.</w:t>
      </w:r>
    </w:p>
    <w:p w14:paraId="669C71AD" w14:textId="77777777" w:rsidR="0087633C" w:rsidRPr="00FB1008" w:rsidRDefault="0087633C" w:rsidP="003B255A">
      <w:pPr>
        <w:spacing w:after="0" w:line="360" w:lineRule="auto"/>
        <w:ind w:firstLine="709"/>
        <w:jc w:val="both"/>
        <w:rPr>
          <w:rFonts w:ascii="Times New Roman" w:eastAsia="Calibri" w:hAnsi="Times New Roman" w:cs="Times New Roman"/>
          <w:kern w:val="2"/>
          <w:sz w:val="24"/>
          <w:szCs w:val="24"/>
          <w:lang w:val="en-US"/>
          <w14:ligatures w14:val="standardContextual"/>
        </w:rPr>
      </w:pPr>
      <w:r w:rsidRPr="00FB1008">
        <w:rPr>
          <w:rFonts w:ascii="Times New Roman" w:eastAsia="Calibri" w:hAnsi="Times New Roman" w:cs="Times New Roman"/>
          <w:kern w:val="2"/>
          <w:sz w:val="24"/>
          <w:szCs w:val="24"/>
          <w:lang w:val="en-US"/>
          <w14:ligatures w14:val="standardContextual"/>
        </w:rPr>
        <w:t>Mitchell M.J., Driscoll C.T., McHale P.J., Roy K.M., Dong Z. Lake/watershed sulfur budgets and their response to decreases in atmospheric sulfur deposition: Watershed and climate controls: regulation of sulfur budgets of forested lake/watersheds</w:t>
      </w:r>
      <w:r w:rsidR="006C44ED">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Hydrological Processes</w:t>
      </w:r>
      <w:r w:rsidR="006C44ED">
        <w:rPr>
          <w:rFonts w:ascii="Times New Roman" w:eastAsia="Calibri" w:hAnsi="Times New Roman" w:cs="Times New Roman"/>
          <w:kern w:val="2"/>
          <w:sz w:val="24"/>
          <w:szCs w:val="24"/>
          <w:lang w:val="en-US"/>
          <w14:ligatures w14:val="standardContextual"/>
        </w:rPr>
        <w:t>. – 2013. –</w:t>
      </w:r>
      <w:r w:rsidR="006C44ED" w:rsidRPr="006C44ED">
        <w:rPr>
          <w:rFonts w:ascii="Times New Roman" w:eastAsia="Calibri" w:hAnsi="Times New Roman" w:cs="Times New Roman"/>
          <w:kern w:val="2"/>
          <w:sz w:val="24"/>
          <w:szCs w:val="24"/>
          <w:lang w:val="en-US"/>
          <w14:ligatures w14:val="standardContextual"/>
        </w:rPr>
        <w:t xml:space="preserve"> </w:t>
      </w:r>
      <w:r w:rsidR="006C44ED">
        <w:rPr>
          <w:rFonts w:ascii="Times New Roman" w:eastAsia="Calibri" w:hAnsi="Times New Roman" w:cs="Times New Roman"/>
          <w:kern w:val="2"/>
          <w:sz w:val="24"/>
          <w:szCs w:val="24"/>
          <w:lang w:val="en-US"/>
          <w14:ligatures w14:val="standardContextual"/>
        </w:rPr>
        <w:t>Vol. 27, No.</w:t>
      </w:r>
      <w:r w:rsidR="006C44ED" w:rsidRPr="00FB1008">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5</w:t>
      </w:r>
      <w:r w:rsidR="006C44ED">
        <w:rPr>
          <w:rFonts w:ascii="Times New Roman" w:eastAsia="Calibri" w:hAnsi="Times New Roman" w:cs="Times New Roman"/>
          <w:kern w:val="2"/>
          <w:sz w:val="24"/>
          <w:szCs w:val="24"/>
          <w:lang w:val="en-US"/>
          <w14:ligatures w14:val="standardContextual"/>
        </w:rPr>
        <w:t>. – P</w:t>
      </w:r>
      <w:r w:rsidRPr="00FB1008">
        <w:rPr>
          <w:rFonts w:ascii="Times New Roman" w:eastAsia="Calibri" w:hAnsi="Times New Roman" w:cs="Times New Roman"/>
          <w:kern w:val="2"/>
          <w:sz w:val="24"/>
          <w:szCs w:val="24"/>
          <w:lang w:val="en-US"/>
          <w14:ligatures w14:val="standardContextual"/>
        </w:rPr>
        <w:t>.</w:t>
      </w:r>
      <w:r w:rsidR="00FF4BCF">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710–720.</w:t>
      </w:r>
    </w:p>
    <w:p w14:paraId="1AC1E79F" w14:textId="77777777" w:rsidR="0087633C" w:rsidRPr="00FB1008" w:rsidRDefault="0087633C" w:rsidP="003B255A">
      <w:pPr>
        <w:spacing w:after="0" w:line="360" w:lineRule="auto"/>
        <w:ind w:firstLine="709"/>
        <w:jc w:val="both"/>
        <w:rPr>
          <w:rFonts w:ascii="Times New Roman" w:eastAsia="Calibri" w:hAnsi="Times New Roman" w:cs="Times New Roman"/>
          <w:kern w:val="2"/>
          <w:sz w:val="24"/>
          <w:szCs w:val="24"/>
          <w:lang w:val="en-US"/>
          <w14:ligatures w14:val="standardContextual"/>
        </w:rPr>
      </w:pPr>
      <w:proofErr w:type="spellStart"/>
      <w:r w:rsidRPr="00FB1008">
        <w:rPr>
          <w:rFonts w:ascii="Times New Roman" w:eastAsia="Calibri" w:hAnsi="Times New Roman" w:cs="Times New Roman"/>
          <w:kern w:val="2"/>
          <w:sz w:val="24"/>
          <w:szCs w:val="24"/>
          <w:lang w:val="en-US"/>
          <w14:ligatures w14:val="standardContextual"/>
        </w:rPr>
        <w:t>Sase</w:t>
      </w:r>
      <w:proofErr w:type="spellEnd"/>
      <w:r w:rsidRPr="00FB1008">
        <w:rPr>
          <w:rFonts w:ascii="Times New Roman" w:eastAsia="Calibri" w:hAnsi="Times New Roman" w:cs="Times New Roman"/>
          <w:kern w:val="2"/>
          <w:sz w:val="24"/>
          <w:szCs w:val="24"/>
          <w:lang w:val="en-US"/>
          <w14:ligatures w14:val="standardContextual"/>
        </w:rPr>
        <w:t xml:space="preserve"> H., Takahashi M., Matsuda K., Sato K., Tanikawa T., Yamashita N., </w:t>
      </w:r>
      <w:proofErr w:type="spellStart"/>
      <w:r w:rsidRPr="00FB1008">
        <w:rPr>
          <w:rFonts w:ascii="Times New Roman" w:eastAsia="Calibri" w:hAnsi="Times New Roman" w:cs="Times New Roman"/>
          <w:kern w:val="2"/>
          <w:sz w:val="24"/>
          <w:szCs w:val="24"/>
          <w:lang w:val="en-US"/>
          <w14:ligatures w14:val="standardContextual"/>
        </w:rPr>
        <w:t>Ohizumi</w:t>
      </w:r>
      <w:proofErr w:type="spellEnd"/>
      <w:r w:rsidRPr="00FB1008">
        <w:rPr>
          <w:rFonts w:ascii="Times New Roman" w:eastAsia="Calibri" w:hAnsi="Times New Roman" w:cs="Times New Roman"/>
          <w:kern w:val="2"/>
          <w:sz w:val="24"/>
          <w:szCs w:val="24"/>
          <w:lang w:val="en-US"/>
          <w14:ligatures w14:val="standardContextual"/>
        </w:rPr>
        <w:t xml:space="preserve"> T., Ishida T., </w:t>
      </w:r>
      <w:proofErr w:type="spellStart"/>
      <w:r w:rsidRPr="00FB1008">
        <w:rPr>
          <w:rFonts w:ascii="Times New Roman" w:eastAsia="Calibri" w:hAnsi="Times New Roman" w:cs="Times New Roman"/>
          <w:kern w:val="2"/>
          <w:sz w:val="24"/>
          <w:szCs w:val="24"/>
          <w:lang w:val="en-US"/>
          <w14:ligatures w14:val="standardContextual"/>
        </w:rPr>
        <w:t>Kamisako</w:t>
      </w:r>
      <w:proofErr w:type="spellEnd"/>
      <w:r w:rsidRPr="00FB1008">
        <w:rPr>
          <w:rFonts w:ascii="Times New Roman" w:eastAsia="Calibri" w:hAnsi="Times New Roman" w:cs="Times New Roman"/>
          <w:kern w:val="2"/>
          <w:sz w:val="24"/>
          <w:szCs w:val="24"/>
          <w:lang w:val="en-US"/>
          <w14:ligatures w14:val="standardContextual"/>
        </w:rPr>
        <w:t xml:space="preserve"> M., Kobayashi R., Uchiyama S., Saito T., </w:t>
      </w:r>
      <w:proofErr w:type="spellStart"/>
      <w:r w:rsidRPr="00FB1008">
        <w:rPr>
          <w:rFonts w:ascii="Times New Roman" w:eastAsia="Calibri" w:hAnsi="Times New Roman" w:cs="Times New Roman"/>
          <w:kern w:val="2"/>
          <w:sz w:val="24"/>
          <w:szCs w:val="24"/>
          <w:lang w:val="en-US"/>
          <w14:ligatures w14:val="standardContextual"/>
        </w:rPr>
        <w:t>Morohashi</w:t>
      </w:r>
      <w:proofErr w:type="spellEnd"/>
      <w:r w:rsidRPr="00FB1008">
        <w:rPr>
          <w:rFonts w:ascii="Times New Roman" w:eastAsia="Calibri" w:hAnsi="Times New Roman" w:cs="Times New Roman"/>
          <w:kern w:val="2"/>
          <w:sz w:val="24"/>
          <w:szCs w:val="24"/>
          <w:lang w:val="en-US"/>
          <w14:ligatures w14:val="standardContextual"/>
        </w:rPr>
        <w:t xml:space="preserve"> M., Fukuhara H., Kaneko S., Inoue T., Yamada T., </w:t>
      </w:r>
      <w:proofErr w:type="spellStart"/>
      <w:r w:rsidRPr="00FB1008">
        <w:rPr>
          <w:rFonts w:ascii="Times New Roman" w:eastAsia="Calibri" w:hAnsi="Times New Roman" w:cs="Times New Roman"/>
          <w:kern w:val="2"/>
          <w:sz w:val="24"/>
          <w:szCs w:val="24"/>
          <w:lang w:val="en-US"/>
          <w14:ligatures w14:val="standardContextual"/>
        </w:rPr>
        <w:t>Takenaka</w:t>
      </w:r>
      <w:proofErr w:type="spellEnd"/>
      <w:r w:rsidRPr="00FB1008">
        <w:rPr>
          <w:rFonts w:ascii="Times New Roman" w:eastAsia="Calibri" w:hAnsi="Times New Roman" w:cs="Times New Roman"/>
          <w:kern w:val="2"/>
          <w:sz w:val="24"/>
          <w:szCs w:val="24"/>
          <w:lang w:val="en-US"/>
          <w14:ligatures w14:val="standardContextual"/>
        </w:rPr>
        <w:t xml:space="preserve"> C., </w:t>
      </w:r>
      <w:proofErr w:type="spellStart"/>
      <w:r w:rsidRPr="00FB1008">
        <w:rPr>
          <w:rFonts w:ascii="Times New Roman" w:eastAsia="Calibri" w:hAnsi="Times New Roman" w:cs="Times New Roman"/>
          <w:kern w:val="2"/>
          <w:sz w:val="24"/>
          <w:szCs w:val="24"/>
          <w:lang w:val="en-US"/>
          <w14:ligatures w14:val="standardContextual"/>
        </w:rPr>
        <w:t>Tayasu</w:t>
      </w:r>
      <w:proofErr w:type="spellEnd"/>
      <w:r w:rsidRPr="00FB1008">
        <w:rPr>
          <w:rFonts w:ascii="Times New Roman" w:eastAsia="Calibri" w:hAnsi="Times New Roman" w:cs="Times New Roman"/>
          <w:kern w:val="2"/>
          <w:sz w:val="24"/>
          <w:szCs w:val="24"/>
          <w:lang w:val="en-US"/>
          <w14:ligatures w14:val="standardContextual"/>
        </w:rPr>
        <w:t xml:space="preserve"> I., </w:t>
      </w:r>
      <w:proofErr w:type="spellStart"/>
      <w:r w:rsidRPr="00FB1008">
        <w:rPr>
          <w:rFonts w:ascii="Times New Roman" w:eastAsia="Calibri" w:hAnsi="Times New Roman" w:cs="Times New Roman"/>
          <w:kern w:val="2"/>
          <w:sz w:val="24"/>
          <w:szCs w:val="24"/>
          <w:lang w:val="en-US"/>
          <w14:ligatures w14:val="standardContextual"/>
        </w:rPr>
        <w:t>Ohta</w:t>
      </w:r>
      <w:proofErr w:type="spellEnd"/>
      <w:r w:rsidRPr="00FB1008">
        <w:rPr>
          <w:rFonts w:ascii="Times New Roman" w:eastAsia="Calibri" w:hAnsi="Times New Roman" w:cs="Times New Roman"/>
          <w:kern w:val="2"/>
          <w:sz w:val="24"/>
          <w:szCs w:val="24"/>
          <w:lang w:val="en-US"/>
          <w14:ligatures w14:val="standardContextual"/>
        </w:rPr>
        <w:t xml:space="preserve"> S. Response of river water chemistry to changing atmospheric environment and sulfur dynamics in a forested catchment in central Japan</w:t>
      </w:r>
      <w:r w:rsidR="00D4499D">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Biogeochemistry</w:t>
      </w:r>
      <w:r w:rsidR="00D4499D">
        <w:rPr>
          <w:rFonts w:ascii="Times New Roman" w:eastAsia="Calibri" w:hAnsi="Times New Roman" w:cs="Times New Roman"/>
          <w:kern w:val="2"/>
          <w:sz w:val="24"/>
          <w:szCs w:val="24"/>
          <w:lang w:val="en-US"/>
          <w14:ligatures w14:val="standardContextual"/>
        </w:rPr>
        <w:t>. –</w:t>
      </w:r>
      <w:r w:rsidRPr="00FB1008">
        <w:rPr>
          <w:rFonts w:ascii="Times New Roman" w:eastAsia="Calibri" w:hAnsi="Times New Roman" w:cs="Times New Roman"/>
          <w:kern w:val="2"/>
          <w:sz w:val="24"/>
          <w:szCs w:val="24"/>
          <w:lang w:val="en-US"/>
          <w14:ligatures w14:val="standardContextual"/>
        </w:rPr>
        <w:t xml:space="preserve"> </w:t>
      </w:r>
      <w:r w:rsidR="00D4499D" w:rsidRPr="00FB1008">
        <w:rPr>
          <w:rFonts w:ascii="Times New Roman" w:eastAsia="Calibri" w:hAnsi="Times New Roman" w:cs="Times New Roman"/>
          <w:kern w:val="2"/>
          <w:sz w:val="24"/>
          <w:szCs w:val="24"/>
          <w:lang w:val="en-US"/>
          <w14:ligatures w14:val="standardContextual"/>
        </w:rPr>
        <w:t>2019</w:t>
      </w:r>
      <w:r w:rsidR="00D4499D">
        <w:rPr>
          <w:rFonts w:ascii="Times New Roman" w:eastAsia="Calibri" w:hAnsi="Times New Roman" w:cs="Times New Roman"/>
          <w:kern w:val="2"/>
          <w:sz w:val="24"/>
          <w:szCs w:val="24"/>
          <w:lang w:val="en-US"/>
          <w14:ligatures w14:val="standardContextual"/>
        </w:rPr>
        <w:t xml:space="preserve">. – Vol. 142, No. </w:t>
      </w:r>
      <w:r w:rsidRPr="00FB1008">
        <w:rPr>
          <w:rFonts w:ascii="Times New Roman" w:eastAsia="Calibri" w:hAnsi="Times New Roman" w:cs="Times New Roman"/>
          <w:kern w:val="2"/>
          <w:sz w:val="24"/>
          <w:szCs w:val="24"/>
          <w:lang w:val="en-US"/>
          <w14:ligatures w14:val="standardContextual"/>
        </w:rPr>
        <w:t>3</w:t>
      </w:r>
      <w:r w:rsidR="00D4499D">
        <w:rPr>
          <w:rFonts w:ascii="Times New Roman" w:eastAsia="Calibri" w:hAnsi="Times New Roman" w:cs="Times New Roman"/>
          <w:kern w:val="2"/>
          <w:sz w:val="24"/>
          <w:szCs w:val="24"/>
          <w:lang w:val="en-US"/>
          <w14:ligatures w14:val="standardContextual"/>
        </w:rPr>
        <w:t>. – P</w:t>
      </w:r>
      <w:r w:rsidRPr="00FB1008">
        <w:rPr>
          <w:rFonts w:ascii="Times New Roman" w:eastAsia="Calibri" w:hAnsi="Times New Roman" w:cs="Times New Roman"/>
          <w:kern w:val="2"/>
          <w:sz w:val="24"/>
          <w:szCs w:val="24"/>
          <w:lang w:val="en-US"/>
          <w14:ligatures w14:val="standardContextual"/>
        </w:rPr>
        <w:t>. 357–374.</w:t>
      </w:r>
    </w:p>
    <w:p w14:paraId="1BDF7636" w14:textId="77777777" w:rsidR="0087633C" w:rsidRPr="00FB1008" w:rsidRDefault="0087633C" w:rsidP="003B255A">
      <w:pPr>
        <w:spacing w:after="0" w:line="360" w:lineRule="auto"/>
        <w:ind w:firstLine="709"/>
        <w:jc w:val="both"/>
        <w:rPr>
          <w:rFonts w:ascii="Calibri" w:eastAsia="Calibri" w:hAnsi="Calibri" w:cs="Times New Roman"/>
          <w:kern w:val="2"/>
          <w14:ligatures w14:val="standardContextual"/>
        </w:rPr>
      </w:pPr>
      <w:proofErr w:type="spellStart"/>
      <w:r w:rsidRPr="00FB1008">
        <w:rPr>
          <w:rFonts w:ascii="Times New Roman" w:eastAsia="Calibri" w:hAnsi="Times New Roman" w:cs="Times New Roman"/>
          <w:kern w:val="2"/>
          <w:sz w:val="24"/>
          <w:szCs w:val="24"/>
          <w:lang w:val="en-US"/>
          <w14:ligatures w14:val="standardContextual"/>
        </w:rPr>
        <w:t>Vuorenmaa</w:t>
      </w:r>
      <w:proofErr w:type="spellEnd"/>
      <w:r w:rsidRPr="00FB1008">
        <w:rPr>
          <w:rFonts w:ascii="Times New Roman" w:eastAsia="Calibri" w:hAnsi="Times New Roman" w:cs="Times New Roman"/>
          <w:kern w:val="2"/>
          <w:sz w:val="24"/>
          <w:szCs w:val="24"/>
          <w:lang w:val="en-US"/>
          <w14:ligatures w14:val="standardContextual"/>
        </w:rPr>
        <w:t xml:space="preserve"> J., </w:t>
      </w:r>
      <w:proofErr w:type="spellStart"/>
      <w:r w:rsidRPr="00FB1008">
        <w:rPr>
          <w:rFonts w:ascii="Times New Roman" w:eastAsia="Calibri" w:hAnsi="Times New Roman" w:cs="Times New Roman"/>
          <w:kern w:val="2"/>
          <w:sz w:val="24"/>
          <w:szCs w:val="24"/>
          <w:lang w:val="en-US"/>
          <w14:ligatures w14:val="standardContextual"/>
        </w:rPr>
        <w:t>Augustaitis</w:t>
      </w:r>
      <w:proofErr w:type="spellEnd"/>
      <w:r w:rsidRPr="00FB1008">
        <w:rPr>
          <w:rFonts w:ascii="Times New Roman" w:eastAsia="Calibri" w:hAnsi="Times New Roman" w:cs="Times New Roman"/>
          <w:kern w:val="2"/>
          <w:sz w:val="24"/>
          <w:szCs w:val="24"/>
          <w:lang w:val="en-US"/>
          <w14:ligatures w14:val="standardContextual"/>
        </w:rPr>
        <w:t xml:space="preserve"> A., </w:t>
      </w:r>
      <w:proofErr w:type="spellStart"/>
      <w:r w:rsidRPr="00FB1008">
        <w:rPr>
          <w:rFonts w:ascii="Times New Roman" w:eastAsia="Calibri" w:hAnsi="Times New Roman" w:cs="Times New Roman"/>
          <w:kern w:val="2"/>
          <w:sz w:val="24"/>
          <w:szCs w:val="24"/>
          <w:lang w:val="en-US"/>
          <w14:ligatures w14:val="standardContextual"/>
        </w:rPr>
        <w:t>Beudert</w:t>
      </w:r>
      <w:proofErr w:type="spellEnd"/>
      <w:r w:rsidRPr="00FB1008">
        <w:rPr>
          <w:rFonts w:ascii="Times New Roman" w:eastAsia="Calibri" w:hAnsi="Times New Roman" w:cs="Times New Roman"/>
          <w:kern w:val="2"/>
          <w:sz w:val="24"/>
          <w:szCs w:val="24"/>
          <w:lang w:val="en-US"/>
          <w14:ligatures w14:val="standardContextual"/>
        </w:rPr>
        <w:t xml:space="preserve"> B., Clarke N., Wit H.A. de, </w:t>
      </w:r>
      <w:proofErr w:type="spellStart"/>
      <w:r w:rsidRPr="00FB1008">
        <w:rPr>
          <w:rFonts w:ascii="Times New Roman" w:eastAsia="Calibri" w:hAnsi="Times New Roman" w:cs="Times New Roman"/>
          <w:kern w:val="2"/>
          <w:sz w:val="24"/>
          <w:szCs w:val="24"/>
          <w:lang w:val="en-US"/>
          <w14:ligatures w14:val="standardContextual"/>
        </w:rPr>
        <w:t>Dirnböck</w:t>
      </w:r>
      <w:proofErr w:type="spellEnd"/>
      <w:r w:rsidRPr="00FB1008">
        <w:rPr>
          <w:rFonts w:ascii="Times New Roman" w:eastAsia="Calibri" w:hAnsi="Times New Roman" w:cs="Times New Roman"/>
          <w:kern w:val="2"/>
          <w:sz w:val="24"/>
          <w:szCs w:val="24"/>
          <w:lang w:val="en-US"/>
          <w14:ligatures w14:val="standardContextual"/>
        </w:rPr>
        <w:t xml:space="preserve"> T., Frey J., </w:t>
      </w:r>
      <w:proofErr w:type="spellStart"/>
      <w:r w:rsidRPr="00FB1008">
        <w:rPr>
          <w:rFonts w:ascii="Times New Roman" w:eastAsia="Calibri" w:hAnsi="Times New Roman" w:cs="Times New Roman"/>
          <w:kern w:val="2"/>
          <w:sz w:val="24"/>
          <w:szCs w:val="24"/>
          <w:lang w:val="en-US"/>
          <w14:ligatures w14:val="standardContextual"/>
        </w:rPr>
        <w:t>Forsius</w:t>
      </w:r>
      <w:proofErr w:type="spellEnd"/>
      <w:r w:rsidRPr="00FB1008">
        <w:rPr>
          <w:rFonts w:ascii="Times New Roman" w:eastAsia="Calibri" w:hAnsi="Times New Roman" w:cs="Times New Roman"/>
          <w:kern w:val="2"/>
          <w:sz w:val="24"/>
          <w:szCs w:val="24"/>
          <w:lang w:val="en-US"/>
          <w14:ligatures w14:val="standardContextual"/>
        </w:rPr>
        <w:t xml:space="preserve"> M., </w:t>
      </w:r>
      <w:proofErr w:type="spellStart"/>
      <w:r w:rsidRPr="00FB1008">
        <w:rPr>
          <w:rFonts w:ascii="Times New Roman" w:eastAsia="Calibri" w:hAnsi="Times New Roman" w:cs="Times New Roman"/>
          <w:kern w:val="2"/>
          <w:sz w:val="24"/>
          <w:szCs w:val="24"/>
          <w:lang w:val="en-US"/>
          <w14:ligatures w14:val="standardContextual"/>
        </w:rPr>
        <w:t>Indriksone</w:t>
      </w:r>
      <w:proofErr w:type="spellEnd"/>
      <w:r w:rsidRPr="00FB1008">
        <w:rPr>
          <w:rFonts w:ascii="Times New Roman" w:eastAsia="Calibri" w:hAnsi="Times New Roman" w:cs="Times New Roman"/>
          <w:kern w:val="2"/>
          <w:sz w:val="24"/>
          <w:szCs w:val="24"/>
          <w:lang w:val="en-US"/>
          <w14:ligatures w14:val="standardContextual"/>
        </w:rPr>
        <w:t xml:space="preserve"> I., </w:t>
      </w:r>
      <w:proofErr w:type="spellStart"/>
      <w:r w:rsidRPr="00FB1008">
        <w:rPr>
          <w:rFonts w:ascii="Times New Roman" w:eastAsia="Calibri" w:hAnsi="Times New Roman" w:cs="Times New Roman"/>
          <w:kern w:val="2"/>
          <w:sz w:val="24"/>
          <w:szCs w:val="24"/>
          <w:lang w:val="en-US"/>
          <w14:ligatures w14:val="standardContextual"/>
        </w:rPr>
        <w:t>Kleemola</w:t>
      </w:r>
      <w:proofErr w:type="spellEnd"/>
      <w:r w:rsidRPr="00FB1008">
        <w:rPr>
          <w:rFonts w:ascii="Times New Roman" w:eastAsia="Calibri" w:hAnsi="Times New Roman" w:cs="Times New Roman"/>
          <w:kern w:val="2"/>
          <w:sz w:val="24"/>
          <w:szCs w:val="24"/>
          <w:lang w:val="en-US"/>
          <w14:ligatures w14:val="standardContextual"/>
        </w:rPr>
        <w:t xml:space="preserve"> S., </w:t>
      </w:r>
      <w:proofErr w:type="spellStart"/>
      <w:r w:rsidRPr="00FB1008">
        <w:rPr>
          <w:rFonts w:ascii="Times New Roman" w:eastAsia="Calibri" w:hAnsi="Times New Roman" w:cs="Times New Roman"/>
          <w:kern w:val="2"/>
          <w:sz w:val="24"/>
          <w:szCs w:val="24"/>
          <w:lang w:val="en-US"/>
          <w14:ligatures w14:val="standardContextual"/>
        </w:rPr>
        <w:t>Kobler</w:t>
      </w:r>
      <w:proofErr w:type="spellEnd"/>
      <w:r w:rsidRPr="00FB1008">
        <w:rPr>
          <w:rFonts w:ascii="Times New Roman" w:eastAsia="Calibri" w:hAnsi="Times New Roman" w:cs="Times New Roman"/>
          <w:kern w:val="2"/>
          <w:sz w:val="24"/>
          <w:szCs w:val="24"/>
          <w:lang w:val="en-US"/>
          <w14:ligatures w14:val="standardContextual"/>
        </w:rPr>
        <w:t xml:space="preserve"> J., </w:t>
      </w:r>
      <w:proofErr w:type="spellStart"/>
      <w:r w:rsidRPr="00FB1008">
        <w:rPr>
          <w:rFonts w:ascii="Times New Roman" w:eastAsia="Calibri" w:hAnsi="Times New Roman" w:cs="Times New Roman"/>
          <w:kern w:val="2"/>
          <w:sz w:val="24"/>
          <w:szCs w:val="24"/>
          <w:lang w:val="en-US"/>
          <w14:ligatures w14:val="standardContextual"/>
        </w:rPr>
        <w:t>Krám</w:t>
      </w:r>
      <w:proofErr w:type="spellEnd"/>
      <w:r w:rsidRPr="00FB1008">
        <w:rPr>
          <w:rFonts w:ascii="Times New Roman" w:eastAsia="Calibri" w:hAnsi="Times New Roman" w:cs="Times New Roman"/>
          <w:kern w:val="2"/>
          <w:sz w:val="24"/>
          <w:szCs w:val="24"/>
          <w:lang w:val="en-US"/>
          <w14:ligatures w14:val="standardContextual"/>
        </w:rPr>
        <w:t xml:space="preserve"> P., </w:t>
      </w:r>
      <w:proofErr w:type="spellStart"/>
      <w:r w:rsidRPr="00FB1008">
        <w:rPr>
          <w:rFonts w:ascii="Times New Roman" w:eastAsia="Calibri" w:hAnsi="Times New Roman" w:cs="Times New Roman"/>
          <w:kern w:val="2"/>
          <w:sz w:val="24"/>
          <w:szCs w:val="24"/>
          <w:lang w:val="en-US"/>
          <w14:ligatures w14:val="standardContextual"/>
        </w:rPr>
        <w:t>Lindroos</w:t>
      </w:r>
      <w:proofErr w:type="spellEnd"/>
      <w:r w:rsidRPr="00FB1008">
        <w:rPr>
          <w:rFonts w:ascii="Times New Roman" w:eastAsia="Calibri" w:hAnsi="Times New Roman" w:cs="Times New Roman"/>
          <w:kern w:val="2"/>
          <w:sz w:val="24"/>
          <w:szCs w:val="24"/>
          <w:lang w:val="en-US"/>
          <w14:ligatures w14:val="standardContextual"/>
        </w:rPr>
        <w:t xml:space="preserve"> A.-J., Lundin L., </w:t>
      </w:r>
      <w:proofErr w:type="spellStart"/>
      <w:r w:rsidRPr="00FB1008">
        <w:rPr>
          <w:rFonts w:ascii="Times New Roman" w:eastAsia="Calibri" w:hAnsi="Times New Roman" w:cs="Times New Roman"/>
          <w:kern w:val="2"/>
          <w:sz w:val="24"/>
          <w:szCs w:val="24"/>
          <w:lang w:val="en-US"/>
          <w14:ligatures w14:val="standardContextual"/>
        </w:rPr>
        <w:t>Ruoho-Airola</w:t>
      </w:r>
      <w:proofErr w:type="spellEnd"/>
      <w:r w:rsidRPr="00FB1008">
        <w:rPr>
          <w:rFonts w:ascii="Times New Roman" w:eastAsia="Calibri" w:hAnsi="Times New Roman" w:cs="Times New Roman"/>
          <w:kern w:val="2"/>
          <w:sz w:val="24"/>
          <w:szCs w:val="24"/>
          <w:lang w:val="en-US"/>
          <w14:ligatures w14:val="standardContextual"/>
        </w:rPr>
        <w:t xml:space="preserve"> T., </w:t>
      </w:r>
      <w:proofErr w:type="spellStart"/>
      <w:r w:rsidRPr="00FB1008">
        <w:rPr>
          <w:rFonts w:ascii="Times New Roman" w:eastAsia="Calibri" w:hAnsi="Times New Roman" w:cs="Times New Roman"/>
          <w:kern w:val="2"/>
          <w:sz w:val="24"/>
          <w:szCs w:val="24"/>
          <w:lang w:val="en-US"/>
          <w14:ligatures w14:val="standardContextual"/>
        </w:rPr>
        <w:t>Ukonmaanaho</w:t>
      </w:r>
      <w:proofErr w:type="spellEnd"/>
      <w:r w:rsidRPr="00FB1008">
        <w:rPr>
          <w:rFonts w:ascii="Times New Roman" w:eastAsia="Calibri" w:hAnsi="Times New Roman" w:cs="Times New Roman"/>
          <w:kern w:val="2"/>
          <w:sz w:val="24"/>
          <w:szCs w:val="24"/>
          <w:lang w:val="en-US"/>
          <w14:ligatures w14:val="standardContextual"/>
        </w:rPr>
        <w:t xml:space="preserve"> L., </w:t>
      </w:r>
      <w:proofErr w:type="spellStart"/>
      <w:r w:rsidRPr="00FB1008">
        <w:rPr>
          <w:rFonts w:ascii="Times New Roman" w:eastAsia="Calibri" w:hAnsi="Times New Roman" w:cs="Times New Roman"/>
          <w:kern w:val="2"/>
          <w:sz w:val="24"/>
          <w:szCs w:val="24"/>
          <w:lang w:val="en-US"/>
          <w14:ligatures w14:val="standardContextual"/>
        </w:rPr>
        <w:t>Váňa</w:t>
      </w:r>
      <w:proofErr w:type="spellEnd"/>
      <w:r w:rsidR="003F46CB">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M. Long-term sulphate and inorganic nitrogen mass balance budgets in European ICP Integrated Monitoring catchments (1990–2012)</w:t>
      </w:r>
      <w:r w:rsidR="003F46CB">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w:t>
      </w:r>
      <w:proofErr w:type="spellStart"/>
      <w:r w:rsidRPr="00FB1008">
        <w:rPr>
          <w:rFonts w:ascii="Times New Roman" w:eastAsia="Calibri" w:hAnsi="Times New Roman" w:cs="Times New Roman"/>
          <w:kern w:val="2"/>
          <w:sz w:val="24"/>
          <w:szCs w:val="24"/>
          <w14:ligatures w14:val="standardContextual"/>
        </w:rPr>
        <w:t>Ecological</w:t>
      </w:r>
      <w:proofErr w:type="spellEnd"/>
      <w:r w:rsidRPr="00FB1008">
        <w:rPr>
          <w:rFonts w:ascii="Times New Roman" w:eastAsia="Calibri" w:hAnsi="Times New Roman" w:cs="Times New Roman"/>
          <w:kern w:val="2"/>
          <w:sz w:val="24"/>
          <w:szCs w:val="24"/>
          <w14:ligatures w14:val="standardContextual"/>
        </w:rPr>
        <w:t xml:space="preserve"> </w:t>
      </w:r>
      <w:proofErr w:type="spellStart"/>
      <w:r w:rsidRPr="00FB1008">
        <w:rPr>
          <w:rFonts w:ascii="Times New Roman" w:eastAsia="Calibri" w:hAnsi="Times New Roman" w:cs="Times New Roman"/>
          <w:kern w:val="2"/>
          <w:sz w:val="24"/>
          <w:szCs w:val="24"/>
          <w14:ligatures w14:val="standardContextual"/>
        </w:rPr>
        <w:t>Indicators</w:t>
      </w:r>
      <w:proofErr w:type="spellEnd"/>
      <w:r w:rsidR="003F46CB">
        <w:rPr>
          <w:rFonts w:ascii="Times New Roman" w:eastAsia="Calibri" w:hAnsi="Times New Roman" w:cs="Times New Roman"/>
          <w:kern w:val="2"/>
          <w:sz w:val="24"/>
          <w:szCs w:val="24"/>
          <w:lang w:val="en-US"/>
          <w14:ligatures w14:val="standardContextual"/>
        </w:rPr>
        <w:t>. – 2017. – Vol.</w:t>
      </w:r>
      <w:r w:rsidRPr="00FB1008">
        <w:rPr>
          <w:rFonts w:ascii="Times New Roman" w:eastAsia="Calibri" w:hAnsi="Times New Roman" w:cs="Times New Roman"/>
          <w:kern w:val="2"/>
          <w:sz w:val="24"/>
          <w:szCs w:val="24"/>
          <w14:ligatures w14:val="standardContextual"/>
        </w:rPr>
        <w:t xml:space="preserve"> 76</w:t>
      </w:r>
      <w:r w:rsidR="003F46CB">
        <w:rPr>
          <w:rFonts w:ascii="Times New Roman" w:eastAsia="Calibri" w:hAnsi="Times New Roman" w:cs="Times New Roman"/>
          <w:kern w:val="2"/>
          <w:sz w:val="24"/>
          <w:szCs w:val="24"/>
          <w:lang w:val="en-US"/>
          <w14:ligatures w14:val="standardContextual"/>
        </w:rPr>
        <w:t>. – P</w:t>
      </w:r>
      <w:r w:rsidRPr="00FB1008">
        <w:rPr>
          <w:rFonts w:ascii="Times New Roman" w:eastAsia="Calibri" w:hAnsi="Times New Roman" w:cs="Times New Roman"/>
          <w:kern w:val="2"/>
          <w:sz w:val="24"/>
          <w:szCs w:val="24"/>
          <w14:ligatures w14:val="standardContextual"/>
        </w:rPr>
        <w:t>. 15–29.</w:t>
      </w:r>
    </w:p>
    <w:p w14:paraId="66C6B8FA" w14:textId="77777777" w:rsidR="0087633C" w:rsidRPr="00FB1008" w:rsidRDefault="0087633C" w:rsidP="003B255A">
      <w:pPr>
        <w:spacing w:after="0" w:line="360" w:lineRule="auto"/>
        <w:ind w:firstLine="709"/>
        <w:jc w:val="both"/>
        <w:rPr>
          <w:rFonts w:ascii="Times New Roman" w:eastAsia="Calibri" w:hAnsi="Times New Roman" w:cs="Times New Roman"/>
          <w:kern w:val="2"/>
          <w:sz w:val="24"/>
          <w:szCs w:val="24"/>
          <w:lang w:val="en-US"/>
          <w14:ligatures w14:val="standardContextual"/>
        </w:rPr>
      </w:pPr>
      <w:proofErr w:type="spellStart"/>
      <w:r w:rsidRPr="00FB1008">
        <w:rPr>
          <w:rFonts w:ascii="Times New Roman" w:eastAsia="Calibri" w:hAnsi="Times New Roman" w:cs="Times New Roman"/>
          <w:kern w:val="2"/>
          <w:sz w:val="24"/>
          <w:szCs w:val="24"/>
          <w:lang w:val="en-US"/>
          <w14:ligatures w14:val="standardContextual"/>
        </w:rPr>
        <w:t>Zhigacheva</w:t>
      </w:r>
      <w:proofErr w:type="spellEnd"/>
      <w:r w:rsidRPr="00FB1008">
        <w:rPr>
          <w:rFonts w:ascii="Times New Roman" w:eastAsia="Calibri" w:hAnsi="Times New Roman" w:cs="Times New Roman"/>
          <w:kern w:val="2"/>
          <w:sz w:val="24"/>
          <w:szCs w:val="24"/>
          <w:lang w:val="en-US"/>
          <w14:ligatures w14:val="standardContextual"/>
        </w:rPr>
        <w:t xml:space="preserve"> E.S., </w:t>
      </w:r>
      <w:proofErr w:type="spellStart"/>
      <w:r w:rsidRPr="00FB1008">
        <w:rPr>
          <w:rFonts w:ascii="Times New Roman" w:eastAsia="Calibri" w:hAnsi="Times New Roman" w:cs="Times New Roman"/>
          <w:kern w:val="2"/>
          <w:sz w:val="24"/>
          <w:szCs w:val="24"/>
          <w:lang w:val="en-US"/>
          <w14:ligatures w14:val="standardContextual"/>
        </w:rPr>
        <w:t>Sase</w:t>
      </w:r>
      <w:proofErr w:type="spellEnd"/>
      <w:r w:rsidRPr="00FB1008">
        <w:rPr>
          <w:rFonts w:ascii="Times New Roman" w:eastAsia="Calibri" w:hAnsi="Times New Roman" w:cs="Times New Roman"/>
          <w:kern w:val="2"/>
          <w:sz w:val="24"/>
          <w:szCs w:val="24"/>
          <w:lang w:val="en-US"/>
          <w14:ligatures w14:val="standardContextual"/>
        </w:rPr>
        <w:t xml:space="preserve"> H., Nakata M., </w:t>
      </w:r>
      <w:proofErr w:type="spellStart"/>
      <w:r w:rsidRPr="00FB1008">
        <w:rPr>
          <w:rFonts w:ascii="Times New Roman" w:eastAsia="Calibri" w:hAnsi="Times New Roman" w:cs="Times New Roman"/>
          <w:kern w:val="2"/>
          <w:sz w:val="24"/>
          <w:szCs w:val="24"/>
          <w:lang w:val="en-US"/>
          <w14:ligatures w14:val="standardContextual"/>
        </w:rPr>
        <w:t>Ohizumi</w:t>
      </w:r>
      <w:proofErr w:type="spellEnd"/>
      <w:r w:rsidRPr="00FB1008">
        <w:rPr>
          <w:rFonts w:ascii="Times New Roman" w:eastAsia="Calibri" w:hAnsi="Times New Roman" w:cs="Times New Roman"/>
          <w:kern w:val="2"/>
          <w:sz w:val="24"/>
          <w:szCs w:val="24"/>
          <w:lang w:val="en-US"/>
          <w14:ligatures w14:val="standardContextual"/>
        </w:rPr>
        <w:t xml:space="preserve"> T., </w:t>
      </w:r>
      <w:proofErr w:type="spellStart"/>
      <w:r w:rsidRPr="00FB1008">
        <w:rPr>
          <w:rFonts w:ascii="Times New Roman" w:eastAsia="Calibri" w:hAnsi="Times New Roman" w:cs="Times New Roman"/>
          <w:kern w:val="2"/>
          <w:sz w:val="24"/>
          <w:szCs w:val="24"/>
          <w:lang w:val="en-US"/>
          <w14:ligatures w14:val="standardContextual"/>
        </w:rPr>
        <w:t>Gromov</w:t>
      </w:r>
      <w:proofErr w:type="spellEnd"/>
      <w:r w:rsidRPr="00FB1008">
        <w:rPr>
          <w:rFonts w:ascii="Times New Roman" w:eastAsia="Calibri" w:hAnsi="Times New Roman" w:cs="Times New Roman"/>
          <w:kern w:val="2"/>
          <w:sz w:val="24"/>
          <w:szCs w:val="24"/>
          <w:lang w:val="en-US"/>
          <w14:ligatures w14:val="standardContextual"/>
        </w:rPr>
        <w:t xml:space="preserve"> S.A., Takahashi M. Stream water acidification in the Far East of Russia under changing atmospheric deposition and precipitation patterns</w:t>
      </w:r>
      <w:r w:rsidR="00C31538">
        <w:rPr>
          <w:rFonts w:ascii="Times New Roman" w:eastAsia="Calibri" w:hAnsi="Times New Roman" w:cs="Times New Roman"/>
          <w:kern w:val="2"/>
          <w:sz w:val="24"/>
          <w:szCs w:val="24"/>
          <w:lang w:val="en-US"/>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Limnology.</w:t>
      </w:r>
      <w:r w:rsidR="00C31538">
        <w:rPr>
          <w:rFonts w:ascii="Times New Roman" w:eastAsia="Calibri" w:hAnsi="Times New Roman" w:cs="Times New Roman"/>
          <w:kern w:val="2"/>
          <w:sz w:val="24"/>
          <w:szCs w:val="24"/>
          <w14:ligatures w14:val="standardContextual"/>
        </w:rPr>
        <w:t xml:space="preserve"> –</w:t>
      </w:r>
      <w:r w:rsidRPr="00FB1008">
        <w:rPr>
          <w:rFonts w:ascii="Times New Roman" w:eastAsia="Calibri" w:hAnsi="Times New Roman" w:cs="Times New Roman"/>
          <w:kern w:val="2"/>
          <w:sz w:val="24"/>
          <w:szCs w:val="24"/>
          <w:lang w:val="en-US"/>
          <w14:ligatures w14:val="standardContextual"/>
        </w:rPr>
        <w:t xml:space="preserve"> </w:t>
      </w:r>
      <w:r w:rsidR="00C31538" w:rsidRPr="00FB1008">
        <w:rPr>
          <w:rFonts w:ascii="Times New Roman" w:eastAsia="Calibri" w:hAnsi="Times New Roman" w:cs="Times New Roman"/>
          <w:kern w:val="2"/>
          <w:sz w:val="24"/>
          <w:szCs w:val="24"/>
          <w:lang w:val="en-US"/>
          <w14:ligatures w14:val="standardContextual"/>
        </w:rPr>
        <w:t>2022</w:t>
      </w:r>
      <w:r w:rsidR="00C31538">
        <w:rPr>
          <w:rFonts w:ascii="Times New Roman" w:eastAsia="Calibri" w:hAnsi="Times New Roman" w:cs="Times New Roman"/>
          <w:kern w:val="2"/>
          <w:sz w:val="24"/>
          <w:szCs w:val="24"/>
          <w14:ligatures w14:val="standardContextual"/>
        </w:rPr>
        <w:t>. –</w:t>
      </w:r>
      <w:r w:rsidR="00C31538" w:rsidRPr="00C31538">
        <w:rPr>
          <w:rFonts w:ascii="Times New Roman" w:eastAsia="Calibri" w:hAnsi="Times New Roman" w:cs="Times New Roman"/>
          <w:kern w:val="2"/>
          <w:sz w:val="24"/>
          <w:szCs w:val="24"/>
          <w:lang w:val="en-US"/>
          <w14:ligatures w14:val="standardContextual"/>
        </w:rPr>
        <w:t xml:space="preserve"> Vol</w:t>
      </w:r>
      <w:r w:rsidR="00C31538">
        <w:rPr>
          <w:rFonts w:ascii="Times New Roman" w:eastAsia="Calibri" w:hAnsi="Times New Roman" w:cs="Times New Roman"/>
          <w:kern w:val="2"/>
          <w:sz w:val="24"/>
          <w:szCs w:val="24"/>
          <w14:ligatures w14:val="standardContextual"/>
        </w:rPr>
        <w:t xml:space="preserve">. </w:t>
      </w:r>
      <w:r w:rsidR="00C31538" w:rsidRPr="00C31538">
        <w:rPr>
          <w:rFonts w:ascii="Times New Roman" w:eastAsia="Calibri" w:hAnsi="Times New Roman" w:cs="Times New Roman"/>
          <w:kern w:val="2"/>
          <w:sz w:val="24"/>
          <w:szCs w:val="24"/>
          <w:lang w:val="en-US"/>
          <w14:ligatures w14:val="standardContextual"/>
        </w:rPr>
        <w:t>23</w:t>
      </w:r>
      <w:r w:rsidR="00C31538">
        <w:rPr>
          <w:rFonts w:ascii="Times New Roman" w:eastAsia="Calibri" w:hAnsi="Times New Roman" w:cs="Times New Roman"/>
          <w:kern w:val="2"/>
          <w:sz w:val="24"/>
          <w:szCs w:val="24"/>
          <w14:ligatures w14:val="standardContextual"/>
        </w:rPr>
        <w:t>.</w:t>
      </w:r>
      <w:r w:rsidR="005D3777">
        <w:rPr>
          <w:rFonts w:ascii="Times New Roman" w:eastAsia="Calibri" w:hAnsi="Times New Roman" w:cs="Times New Roman"/>
          <w:kern w:val="2"/>
          <w:sz w:val="24"/>
          <w:szCs w:val="24"/>
          <w:lang w:val="en-US"/>
          <w14:ligatures w14:val="standardContextual"/>
        </w:rPr>
        <w:t xml:space="preserve"> –</w:t>
      </w:r>
      <w:r w:rsidR="00C31538">
        <w:rPr>
          <w:rFonts w:ascii="Times New Roman" w:eastAsia="Calibri" w:hAnsi="Times New Roman" w:cs="Times New Roman"/>
          <w:kern w:val="2"/>
          <w:sz w:val="24"/>
          <w:szCs w:val="24"/>
          <w:lang w:val="en-US"/>
          <w14:ligatures w14:val="standardContextual"/>
        </w:rPr>
        <w:t xml:space="preserve"> P.</w:t>
      </w:r>
      <w:r w:rsidR="00C31538" w:rsidRPr="00C31538">
        <w:rPr>
          <w:rFonts w:ascii="Times New Roman" w:eastAsia="Calibri" w:hAnsi="Times New Roman" w:cs="Times New Roman"/>
          <w:kern w:val="2"/>
          <w:sz w:val="24"/>
          <w:szCs w:val="24"/>
          <w:lang w:val="en-US"/>
          <w14:ligatures w14:val="standardContextual"/>
        </w:rPr>
        <w:t xml:space="preserve"> 415–428</w:t>
      </w:r>
    </w:p>
    <w:sectPr w:rsidR="0087633C" w:rsidRPr="00FB1008" w:rsidSect="00216F0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9207" w14:textId="77777777" w:rsidR="009A27A4" w:rsidRDefault="009A27A4" w:rsidP="00FB1008">
      <w:pPr>
        <w:spacing w:after="0" w:line="240" w:lineRule="auto"/>
      </w:pPr>
      <w:r>
        <w:separator/>
      </w:r>
    </w:p>
  </w:endnote>
  <w:endnote w:type="continuationSeparator" w:id="0">
    <w:p w14:paraId="1A743E27" w14:textId="77777777" w:rsidR="009A27A4" w:rsidRDefault="009A27A4" w:rsidP="00FB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043464"/>
      <w:docPartObj>
        <w:docPartGallery w:val="Page Numbers (Bottom of Page)"/>
        <w:docPartUnique/>
      </w:docPartObj>
    </w:sdtPr>
    <w:sdtEndPr/>
    <w:sdtContent>
      <w:p w14:paraId="33D793BE" w14:textId="77777777" w:rsidR="00FB1008" w:rsidRDefault="00FB1008">
        <w:pPr>
          <w:pStyle w:val="a5"/>
          <w:jc w:val="center"/>
        </w:pPr>
        <w:r>
          <w:fldChar w:fldCharType="begin"/>
        </w:r>
        <w:r>
          <w:instrText>PAGE   \* MERGEFORMAT</w:instrText>
        </w:r>
        <w:r>
          <w:fldChar w:fldCharType="separate"/>
        </w:r>
        <w:r>
          <w:t>2</w:t>
        </w:r>
        <w:r>
          <w:fldChar w:fldCharType="end"/>
        </w:r>
      </w:p>
    </w:sdtContent>
  </w:sdt>
  <w:p w14:paraId="704BB1FE" w14:textId="77777777" w:rsidR="00FB1008" w:rsidRDefault="00FB1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7974" w14:textId="77777777" w:rsidR="009A27A4" w:rsidRDefault="009A27A4" w:rsidP="00FB1008">
      <w:pPr>
        <w:spacing w:after="0" w:line="240" w:lineRule="auto"/>
      </w:pPr>
      <w:r>
        <w:separator/>
      </w:r>
    </w:p>
  </w:footnote>
  <w:footnote w:type="continuationSeparator" w:id="0">
    <w:p w14:paraId="5CDB4AC1" w14:textId="77777777" w:rsidR="009A27A4" w:rsidRDefault="009A27A4" w:rsidP="00FB1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08"/>
    <w:rsid w:val="0007553E"/>
    <w:rsid w:val="000C48E5"/>
    <w:rsid w:val="0013107E"/>
    <w:rsid w:val="0013565A"/>
    <w:rsid w:val="001B1E4C"/>
    <w:rsid w:val="001D1815"/>
    <w:rsid w:val="002110C2"/>
    <w:rsid w:val="00216F0C"/>
    <w:rsid w:val="00263804"/>
    <w:rsid w:val="002714E4"/>
    <w:rsid w:val="003055A6"/>
    <w:rsid w:val="003568DA"/>
    <w:rsid w:val="003B255A"/>
    <w:rsid w:val="003F1C9B"/>
    <w:rsid w:val="003F46CB"/>
    <w:rsid w:val="004670CE"/>
    <w:rsid w:val="0049305F"/>
    <w:rsid w:val="004D53EC"/>
    <w:rsid w:val="005B0E52"/>
    <w:rsid w:val="005D3777"/>
    <w:rsid w:val="00603F97"/>
    <w:rsid w:val="00614BE0"/>
    <w:rsid w:val="006C44ED"/>
    <w:rsid w:val="00744EEA"/>
    <w:rsid w:val="007C27AF"/>
    <w:rsid w:val="007E5B73"/>
    <w:rsid w:val="007F4C37"/>
    <w:rsid w:val="0087633C"/>
    <w:rsid w:val="00877CBA"/>
    <w:rsid w:val="008A6244"/>
    <w:rsid w:val="008C28B4"/>
    <w:rsid w:val="008F10E4"/>
    <w:rsid w:val="0096353D"/>
    <w:rsid w:val="009947BF"/>
    <w:rsid w:val="00996F20"/>
    <w:rsid w:val="009A27A4"/>
    <w:rsid w:val="00A124C8"/>
    <w:rsid w:val="00A17E9F"/>
    <w:rsid w:val="00A33844"/>
    <w:rsid w:val="00A82A2C"/>
    <w:rsid w:val="00AD1CC2"/>
    <w:rsid w:val="00AF3E96"/>
    <w:rsid w:val="00C31538"/>
    <w:rsid w:val="00C438E5"/>
    <w:rsid w:val="00C86BD2"/>
    <w:rsid w:val="00CB7003"/>
    <w:rsid w:val="00D10B17"/>
    <w:rsid w:val="00D4499D"/>
    <w:rsid w:val="00DE528F"/>
    <w:rsid w:val="00DE767F"/>
    <w:rsid w:val="00E321E7"/>
    <w:rsid w:val="00E715CB"/>
    <w:rsid w:val="00E77573"/>
    <w:rsid w:val="00F07DD7"/>
    <w:rsid w:val="00F77EB1"/>
    <w:rsid w:val="00F84634"/>
    <w:rsid w:val="00FB1008"/>
    <w:rsid w:val="00FC1D2D"/>
    <w:rsid w:val="00FF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0B45"/>
  <w15:chartTrackingRefBased/>
  <w15:docId w15:val="{0237DD4F-1029-4C53-9FD1-52E8D242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0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1008"/>
  </w:style>
  <w:style w:type="paragraph" w:styleId="a5">
    <w:name w:val="footer"/>
    <w:basedOn w:val="a"/>
    <w:link w:val="a6"/>
    <w:uiPriority w:val="99"/>
    <w:unhideWhenUsed/>
    <w:rsid w:val="00FB10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32162079804167"/>
          <c:y val="8.8505667023561385E-2"/>
          <c:w val="0.83495342427930952"/>
          <c:h val="0.7782856237094411"/>
        </c:manualLayout>
      </c:layout>
      <c:barChart>
        <c:barDir val="col"/>
        <c:grouping val="clustered"/>
        <c:varyColors val="0"/>
        <c:ser>
          <c:idx val="0"/>
          <c:order val="0"/>
          <c:tx>
            <c:strRef>
              <c:f>'[Wet Deposition (official EANET) up to 2020.xlsx]In-Out (6 years)'!$AI$32</c:f>
              <c:strCache>
                <c:ptCount val="1"/>
                <c:pt idx="0">
                  <c:v>Output I-R</c:v>
                </c:pt>
              </c:strCache>
            </c:strRef>
          </c:tx>
          <c:spPr>
            <a:solidFill>
              <a:schemeClr val="accent1"/>
            </a:solidFill>
            <a:ln>
              <a:noFill/>
            </a:ln>
            <a:effectLst/>
          </c:spPr>
          <c:invertIfNegative val="0"/>
          <c:errBars>
            <c:errBarType val="both"/>
            <c:errValType val="cust"/>
            <c:noEndCap val="0"/>
            <c:plus>
              <c:numRef>
                <c:f>'[Wet Deposition (official EANET) up to 2020.xlsx]In-Out (6 years)'!$AK$53:$AK$58</c:f>
                <c:numCache>
                  <c:formatCode>General</c:formatCode>
                  <c:ptCount val="6"/>
                  <c:pt idx="0">
                    <c:v>18.096241948392862</c:v>
                  </c:pt>
                  <c:pt idx="1">
                    <c:v>3.4979208867290037</c:v>
                  </c:pt>
                  <c:pt idx="2">
                    <c:v>6.5792450286324753</c:v>
                  </c:pt>
                  <c:pt idx="3">
                    <c:v>9.3357721355433725</c:v>
                  </c:pt>
                  <c:pt idx="4">
                    <c:v>21.514125253776495</c:v>
                  </c:pt>
                  <c:pt idx="5">
                    <c:v>38.189365084745823</c:v>
                  </c:pt>
                </c:numCache>
              </c:numRef>
            </c:plus>
            <c:minus>
              <c:numRef>
                <c:f>'[Wet Deposition (official EANET) up to 2020.xlsx]In-Out (6 years)'!$AK$53:$AK$58</c:f>
                <c:numCache>
                  <c:formatCode>General</c:formatCode>
                  <c:ptCount val="6"/>
                  <c:pt idx="0">
                    <c:v>18.096241948392862</c:v>
                  </c:pt>
                  <c:pt idx="1">
                    <c:v>3.4979208867290037</c:v>
                  </c:pt>
                  <c:pt idx="2">
                    <c:v>6.5792450286324753</c:v>
                  </c:pt>
                  <c:pt idx="3">
                    <c:v>9.3357721355433725</c:v>
                  </c:pt>
                  <c:pt idx="4">
                    <c:v>21.514125253776495</c:v>
                  </c:pt>
                  <c:pt idx="5">
                    <c:v>38.189365084745823</c:v>
                  </c:pt>
                </c:numCache>
              </c:numRef>
            </c:minus>
            <c:spPr>
              <a:noFill/>
              <a:ln w="9525" cap="flat" cmpd="sng" algn="ctr">
                <a:solidFill>
                  <a:schemeClr val="tx1">
                    <a:lumMod val="65000"/>
                    <a:lumOff val="35000"/>
                  </a:schemeClr>
                </a:solidFill>
                <a:round/>
              </a:ln>
              <a:effectLst/>
            </c:spPr>
          </c:errBars>
          <c:cat>
            <c:strRef>
              <c:f>'[Wet Deposition (official EANET) up to 2020.xlsx]In-Out (6 years)'!$AK$33:$AK$38</c:f>
              <c:strCache>
                <c:ptCount val="6"/>
                <c:pt idx="0">
                  <c:v>S</c:v>
                </c:pt>
                <c:pt idx="1">
                  <c:v>N (NOx)</c:v>
                </c:pt>
                <c:pt idx="2">
                  <c:v>N (NHx)</c:v>
                </c:pt>
                <c:pt idx="3">
                  <c:v>DIN</c:v>
                </c:pt>
                <c:pt idx="4">
                  <c:v>Cl</c:v>
                </c:pt>
                <c:pt idx="5">
                  <c:v>Ca</c:v>
                </c:pt>
              </c:strCache>
            </c:strRef>
          </c:cat>
          <c:val>
            <c:numRef>
              <c:f>'[Wet Deposition (official EANET) up to 2020.xlsx]In-Out (6 years)'!$AM$33:$AM$38</c:f>
              <c:numCache>
                <c:formatCode>0.00</c:formatCode>
                <c:ptCount val="6"/>
                <c:pt idx="0">
                  <c:v>63.4906326480627</c:v>
                </c:pt>
                <c:pt idx="1">
                  <c:v>15.12442644349637</c:v>
                </c:pt>
                <c:pt idx="2">
                  <c:v>10.619936902416732</c:v>
                </c:pt>
                <c:pt idx="3">
                  <c:v>25.744363345913101</c:v>
                </c:pt>
                <c:pt idx="4">
                  <c:v>52.240770484627681</c:v>
                </c:pt>
                <c:pt idx="5">
                  <c:v>120.7797987247742</c:v>
                </c:pt>
              </c:numCache>
            </c:numRef>
          </c:val>
          <c:extLst>
            <c:ext xmlns:c16="http://schemas.microsoft.com/office/drawing/2014/chart" uri="{C3380CC4-5D6E-409C-BE32-E72D297353CC}">
              <c16:uniqueId val="{00000000-178D-4469-B5E1-0959A15A3207}"/>
            </c:ext>
          </c:extLst>
        </c:ser>
        <c:ser>
          <c:idx val="2"/>
          <c:order val="1"/>
          <c:tx>
            <c:strRef>
              <c:f>'[Wet Deposition (official EANET) up to 2020.xlsx]In-Out (6 years)'!$AN$32</c:f>
              <c:strCache>
                <c:ptCount val="1"/>
                <c:pt idx="0">
                  <c:v>Output L-Q</c:v>
                </c:pt>
              </c:strCache>
            </c:strRef>
          </c:tx>
          <c:spPr>
            <a:solidFill>
              <a:schemeClr val="accent3"/>
            </a:solidFill>
            <a:ln>
              <a:noFill/>
            </a:ln>
            <a:effectLst/>
          </c:spPr>
          <c:invertIfNegative val="0"/>
          <c:errBars>
            <c:errBarType val="both"/>
            <c:errValType val="cust"/>
            <c:noEndCap val="0"/>
            <c:plus>
              <c:numRef>
                <c:f>'[Wet Deposition (official EANET) up to 2020.xlsx]In-Out (6 years)'!$AM$53:$AM$58</c:f>
                <c:numCache>
                  <c:formatCode>General</c:formatCode>
                  <c:ptCount val="6"/>
                  <c:pt idx="0">
                    <c:v>4.9985806335452159</c:v>
                  </c:pt>
                  <c:pt idx="1">
                    <c:v>1.1010197077891619</c:v>
                  </c:pt>
                  <c:pt idx="2">
                    <c:v>0.54180599617948688</c:v>
                  </c:pt>
                  <c:pt idx="3">
                    <c:v>1.6411932187756937</c:v>
                  </c:pt>
                  <c:pt idx="4">
                    <c:v>4.0385131649632182</c:v>
                  </c:pt>
                  <c:pt idx="5">
                    <c:v>9.3522076098061202</c:v>
                  </c:pt>
                </c:numCache>
              </c:numRef>
            </c:plus>
            <c:minus>
              <c:numRef>
                <c:f>'[Wet Deposition (official EANET) up to 2020.xlsx]In-Out (6 years)'!$AM$53:$AM$58</c:f>
                <c:numCache>
                  <c:formatCode>General</c:formatCode>
                  <c:ptCount val="6"/>
                  <c:pt idx="0">
                    <c:v>4.9985806335452159</c:v>
                  </c:pt>
                  <c:pt idx="1">
                    <c:v>1.1010197077891619</c:v>
                  </c:pt>
                  <c:pt idx="2">
                    <c:v>0.54180599617948688</c:v>
                  </c:pt>
                  <c:pt idx="3">
                    <c:v>1.6411932187756937</c:v>
                  </c:pt>
                  <c:pt idx="4">
                    <c:v>4.0385131649632182</c:v>
                  </c:pt>
                  <c:pt idx="5">
                    <c:v>9.3522076098061202</c:v>
                  </c:pt>
                </c:numCache>
              </c:numRef>
            </c:minus>
            <c:spPr>
              <a:noFill/>
              <a:ln w="9525" cap="flat" cmpd="sng" algn="ctr">
                <a:solidFill>
                  <a:schemeClr val="tx1">
                    <a:lumMod val="65000"/>
                    <a:lumOff val="35000"/>
                  </a:schemeClr>
                </a:solidFill>
                <a:round/>
              </a:ln>
              <a:effectLst/>
            </c:spPr>
          </c:errBars>
          <c:cat>
            <c:strRef>
              <c:f>'[Wet Deposition (official EANET) up to 2020.xlsx]In-Out (6 years)'!$AK$33:$AK$38</c:f>
              <c:strCache>
                <c:ptCount val="6"/>
                <c:pt idx="0">
                  <c:v>S</c:v>
                </c:pt>
                <c:pt idx="1">
                  <c:v>N (NOx)</c:v>
                </c:pt>
                <c:pt idx="2">
                  <c:v>N (NHx)</c:v>
                </c:pt>
                <c:pt idx="3">
                  <c:v>DIN</c:v>
                </c:pt>
                <c:pt idx="4">
                  <c:v>Cl</c:v>
                </c:pt>
                <c:pt idx="5">
                  <c:v>Ca</c:v>
                </c:pt>
              </c:strCache>
            </c:strRef>
          </c:cat>
          <c:val>
            <c:numRef>
              <c:f>'[Wet Deposition (official EANET) up to 2020.xlsx]In-Out (6 years)'!$AN$33:$AN$38</c:f>
              <c:numCache>
                <c:formatCode>0.00</c:formatCode>
                <c:ptCount val="6"/>
                <c:pt idx="0">
                  <c:v>57.216476132900645</c:v>
                </c:pt>
                <c:pt idx="1">
                  <c:v>12.390473695124486</c:v>
                </c:pt>
                <c:pt idx="2">
                  <c:v>5.7473110786737145</c:v>
                </c:pt>
                <c:pt idx="3">
                  <c:v>18.137784773798202</c:v>
                </c:pt>
                <c:pt idx="4">
                  <c:v>46.018112547364801</c:v>
                </c:pt>
                <c:pt idx="5">
                  <c:v>106.56668055167721</c:v>
                </c:pt>
              </c:numCache>
            </c:numRef>
          </c:val>
          <c:extLst>
            <c:ext xmlns:c16="http://schemas.microsoft.com/office/drawing/2014/chart" uri="{C3380CC4-5D6E-409C-BE32-E72D297353CC}">
              <c16:uniqueId val="{00000001-178D-4469-B5E1-0959A15A3207}"/>
            </c:ext>
          </c:extLst>
        </c:ser>
        <c:dLbls>
          <c:showLegendKey val="0"/>
          <c:showVal val="0"/>
          <c:showCatName val="0"/>
          <c:showSerName val="0"/>
          <c:showPercent val="0"/>
          <c:showBubbleSize val="0"/>
        </c:dLbls>
        <c:gapWidth val="80"/>
        <c:axId val="249504896"/>
        <c:axId val="249507200"/>
      </c:barChart>
      <c:catAx>
        <c:axId val="249504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ru-RU"/>
          </a:p>
        </c:txPr>
        <c:crossAx val="249507200"/>
        <c:crosses val="autoZero"/>
        <c:auto val="1"/>
        <c:lblAlgn val="ctr"/>
        <c:lblOffset val="100"/>
        <c:noMultiLvlLbl val="0"/>
      </c:catAx>
      <c:valAx>
        <c:axId val="249507200"/>
        <c:scaling>
          <c:orientation val="minMax"/>
        </c:scaling>
        <c:delete val="0"/>
        <c:axPos val="l"/>
        <c:numFmt formatCode="0" sourceLinked="0"/>
        <c:majorTickMark val="in"/>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ru-RU"/>
          </a:p>
        </c:txPr>
        <c:crossAx val="249504896"/>
        <c:crosses val="autoZero"/>
        <c:crossBetween val="between"/>
      </c:valAx>
      <c:spPr>
        <a:noFill/>
        <a:ln>
          <a:noFill/>
        </a:ln>
        <a:effectLst/>
      </c:spPr>
    </c:plotArea>
    <c:legend>
      <c:legendPos val="b"/>
      <c:layout>
        <c:manualLayout>
          <c:xMode val="edge"/>
          <c:yMode val="edge"/>
          <c:x val="0.2970235206339778"/>
          <c:y val="6.6901287774283905E-2"/>
          <c:w val="0.41120989131188407"/>
          <c:h val="0.111553554445520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a:solidFill>
            <a:schemeClr val="tx1"/>
          </a:solidFill>
          <a:latin typeface="+mj-lt"/>
        </a:defRPr>
      </a:pPr>
      <a:endParaRPr lang="ru-RU"/>
    </a:p>
  </c:tx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2025-02-13T12:36:00Z</dcterms:created>
  <dcterms:modified xsi:type="dcterms:W3CDTF">2025-02-13T12:36:00Z</dcterms:modified>
</cp:coreProperties>
</file>